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9D2ED" w14:textId="77777777" w:rsidR="00290DFB" w:rsidRPr="00A01C01" w:rsidRDefault="00290DFB">
      <w:pPr>
        <w:rPr>
          <w:noProof/>
          <w:lang w:val="en-IE" w:eastAsia="en-IE"/>
        </w:rPr>
      </w:pPr>
      <w:bookmarkStart w:id="0" w:name="_GoBack"/>
      <w:bookmarkEnd w:id="0"/>
    </w:p>
    <w:p w14:paraId="49FD169E" w14:textId="529DD9DA" w:rsidR="00290DFB" w:rsidRPr="00A01C01" w:rsidRDefault="00290DFB">
      <w:pPr>
        <w:rPr>
          <w:rFonts w:ascii="Arial" w:hAnsi="Arial" w:cs="Arial"/>
          <w:b/>
          <w:bCs/>
          <w:noProof/>
          <w:color w:val="FFFFFF" w:themeColor="background1"/>
          <w:sz w:val="40"/>
          <w:szCs w:val="40"/>
          <w:lang w:val="en-IE" w:eastAsia="en-IE"/>
        </w:rPr>
      </w:pPr>
      <w:r w:rsidRPr="00C51C94">
        <w:rPr>
          <w:rFonts w:ascii="Arial" w:hAnsi="Arial" w:cs="Arial"/>
          <w:b/>
          <w:bCs/>
          <w:noProof/>
          <w:color w:val="FFFFFF" w:themeColor="background1"/>
          <w:sz w:val="40"/>
          <w:szCs w:val="40"/>
          <w:lang w:val="en-IE" w:eastAsia="en-IE"/>
        </w:rPr>
        <w:drawing>
          <wp:anchor distT="0" distB="0" distL="114300" distR="114300" simplePos="0" relativeHeight="251661312" behindDoc="1" locked="1" layoutInCell="1" allowOverlap="0" wp14:anchorId="7D6EAE4B" wp14:editId="3629E8AD">
            <wp:simplePos x="0" y="0"/>
            <wp:positionH relativeFrom="page">
              <wp:align>left</wp:align>
            </wp:positionH>
            <wp:positionV relativeFrom="page">
              <wp:posOffset>114300</wp:posOffset>
            </wp:positionV>
            <wp:extent cx="7626350" cy="21780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cern_Word Template_D2_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635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1C01">
        <w:rPr>
          <w:rFonts w:ascii="Arial" w:hAnsi="Arial" w:cs="Arial"/>
          <w:b/>
          <w:bCs/>
          <w:noProof/>
          <w:color w:val="FFFFFF" w:themeColor="background1"/>
          <w:sz w:val="40"/>
          <w:szCs w:val="40"/>
          <w:lang w:val="en-IE" w:eastAsia="en-IE"/>
        </w:rPr>
        <w:t>Baby WASH guid</w:t>
      </w:r>
      <w:r w:rsidR="00E6586F" w:rsidRPr="00A01C01">
        <w:rPr>
          <w:rFonts w:ascii="Arial" w:hAnsi="Arial" w:cs="Arial"/>
          <w:b/>
          <w:bCs/>
          <w:noProof/>
          <w:color w:val="FFFFFF" w:themeColor="background1"/>
          <w:sz w:val="40"/>
          <w:szCs w:val="40"/>
          <w:lang w:val="en-IE" w:eastAsia="en-IE"/>
        </w:rPr>
        <w:t>e</w:t>
      </w:r>
      <w:r w:rsidRPr="00A01C01">
        <w:rPr>
          <w:rFonts w:ascii="Arial" w:hAnsi="Arial" w:cs="Arial"/>
          <w:b/>
          <w:bCs/>
          <w:noProof/>
          <w:color w:val="FFFFFF" w:themeColor="background1"/>
          <w:sz w:val="40"/>
          <w:szCs w:val="40"/>
          <w:lang w:val="en-IE" w:eastAsia="en-IE"/>
        </w:rPr>
        <w:t xml:space="preserve"> </w:t>
      </w:r>
    </w:p>
    <w:p w14:paraId="507B9D2B" w14:textId="6C1FA888" w:rsidR="00902236" w:rsidRPr="00A01C01" w:rsidRDefault="00902236" w:rsidP="00E6586F">
      <w:pPr>
        <w:spacing w:after="0"/>
        <w:rPr>
          <w:rFonts w:ascii="Arial" w:hAnsi="Arial" w:cs="Arial"/>
          <w:noProof/>
          <w:color w:val="FFFFFF" w:themeColor="background1"/>
          <w:sz w:val="28"/>
          <w:szCs w:val="28"/>
          <w:lang w:val="en-IE" w:eastAsia="en-IE"/>
        </w:rPr>
      </w:pPr>
      <w:r w:rsidRPr="00A01C01">
        <w:rPr>
          <w:rFonts w:ascii="Arial" w:hAnsi="Arial" w:cs="Arial"/>
          <w:noProof/>
          <w:color w:val="FFFFFF" w:themeColor="background1"/>
          <w:sz w:val="28"/>
          <w:szCs w:val="28"/>
          <w:lang w:val="en-IE" w:eastAsia="en-IE"/>
        </w:rPr>
        <w:t>Introduction</w:t>
      </w:r>
    </w:p>
    <w:p w14:paraId="5AD0F74D" w14:textId="2638D5A7" w:rsidR="00902236" w:rsidRPr="00A01C01" w:rsidRDefault="00902236" w:rsidP="002A008B">
      <w:pPr>
        <w:rPr>
          <w:lang w:val="en-IE"/>
        </w:rPr>
      </w:pPr>
    </w:p>
    <w:p w14:paraId="4FF381AD" w14:textId="6A4E7BEE" w:rsidR="00902236" w:rsidRPr="00A01C01" w:rsidRDefault="00E6586F" w:rsidP="00E6586F">
      <w:pPr>
        <w:pStyle w:val="Heading2"/>
        <w:rPr>
          <w:b/>
          <w:bCs/>
          <w:color w:val="00B050"/>
          <w:lang w:val="en-IE"/>
        </w:rPr>
      </w:pPr>
      <w:r w:rsidRPr="00A01C01">
        <w:rPr>
          <w:b/>
          <w:bCs/>
          <w:color w:val="00B050"/>
          <w:lang w:val="en-IE"/>
        </w:rPr>
        <w:t>P</w:t>
      </w:r>
      <w:r w:rsidR="00902236" w:rsidRPr="00A01C01">
        <w:rPr>
          <w:b/>
          <w:bCs/>
          <w:color w:val="00B050"/>
          <w:lang w:val="en-IE"/>
        </w:rPr>
        <w:t>urpose of this guide</w:t>
      </w:r>
    </w:p>
    <w:p w14:paraId="2F89E66C" w14:textId="4DA2F700" w:rsidR="00902236" w:rsidRPr="00A01C01" w:rsidRDefault="00DC5D52">
      <w:pPr>
        <w:rPr>
          <w:lang w:val="en-IE"/>
        </w:rPr>
      </w:pPr>
      <w:r w:rsidRPr="00A01C01">
        <w:rPr>
          <w:lang w:val="en-IE"/>
        </w:rPr>
        <w:t xml:space="preserve">The purpose of </w:t>
      </w:r>
      <w:r w:rsidR="00631758" w:rsidRPr="00A01C01">
        <w:rPr>
          <w:lang w:val="en-IE"/>
        </w:rPr>
        <w:t>this baby WASH</w:t>
      </w:r>
      <w:r w:rsidRPr="00A01C01">
        <w:rPr>
          <w:lang w:val="en-IE"/>
        </w:rPr>
        <w:t xml:space="preserve"> is to </w:t>
      </w:r>
      <w:r w:rsidR="00E6586F" w:rsidRPr="00A01C01">
        <w:rPr>
          <w:lang w:val="en-IE"/>
        </w:rPr>
        <w:t>help</w:t>
      </w:r>
      <w:r w:rsidRPr="00A01C01">
        <w:rPr>
          <w:lang w:val="en-IE"/>
        </w:rPr>
        <w:t xml:space="preserve"> Concern</w:t>
      </w:r>
      <w:r w:rsidR="00983A96" w:rsidRPr="00A01C01">
        <w:rPr>
          <w:lang w:val="en-IE"/>
        </w:rPr>
        <w:t xml:space="preserve"> country </w:t>
      </w:r>
      <w:r w:rsidR="00E6586F" w:rsidRPr="00A01C01">
        <w:rPr>
          <w:lang w:val="en-IE"/>
        </w:rPr>
        <w:t>staff</w:t>
      </w:r>
      <w:r w:rsidR="00983A96" w:rsidRPr="00A01C01">
        <w:rPr>
          <w:lang w:val="en-IE"/>
        </w:rPr>
        <w:t xml:space="preserve"> </w:t>
      </w:r>
      <w:r w:rsidR="00E6586F" w:rsidRPr="00A01C01">
        <w:rPr>
          <w:lang w:val="en-IE"/>
        </w:rPr>
        <w:t>understand the concept of Baby WASH and</w:t>
      </w:r>
      <w:r w:rsidR="00211BB9" w:rsidRPr="00A01C01">
        <w:rPr>
          <w:lang w:val="en-IE"/>
        </w:rPr>
        <w:t xml:space="preserve"> integrate </w:t>
      </w:r>
      <w:r w:rsidR="00E6586F" w:rsidRPr="00A01C01">
        <w:rPr>
          <w:lang w:val="en-IE"/>
        </w:rPr>
        <w:t xml:space="preserve">baby WASH activities </w:t>
      </w:r>
      <w:r w:rsidR="00290DFB" w:rsidRPr="00A01C01">
        <w:rPr>
          <w:lang w:val="en-IE"/>
        </w:rPr>
        <w:t xml:space="preserve">into existing </w:t>
      </w:r>
      <w:r w:rsidR="00E6586F" w:rsidRPr="00A01C01">
        <w:rPr>
          <w:lang w:val="en-IE"/>
        </w:rPr>
        <w:t xml:space="preserve">or new </w:t>
      </w:r>
      <w:r w:rsidR="00290DFB" w:rsidRPr="00A01C01">
        <w:rPr>
          <w:lang w:val="en-IE"/>
        </w:rPr>
        <w:t xml:space="preserve">programmes to improve the health and nutrition of infants and young children under two years of age. </w:t>
      </w:r>
      <w:r w:rsidR="00983A96" w:rsidRPr="00A01C01">
        <w:rPr>
          <w:lang w:val="en-IE"/>
        </w:rPr>
        <w:t xml:space="preserve"> </w:t>
      </w:r>
    </w:p>
    <w:p w14:paraId="0BDFEC6D" w14:textId="458951A5" w:rsidR="00DC5D52" w:rsidRPr="00A01C01" w:rsidRDefault="00902236">
      <w:pPr>
        <w:rPr>
          <w:lang w:val="en-IE"/>
        </w:rPr>
      </w:pPr>
      <w:r w:rsidRPr="00A01C01">
        <w:rPr>
          <w:lang w:val="en-IE"/>
        </w:rPr>
        <w:t xml:space="preserve">The </w:t>
      </w:r>
      <w:r w:rsidR="00E6586F" w:rsidRPr="00A01C01">
        <w:rPr>
          <w:lang w:val="en-IE"/>
        </w:rPr>
        <w:t xml:space="preserve">guide is currently divided into three four sections each with its own </w:t>
      </w:r>
      <w:r w:rsidRPr="00A01C01">
        <w:rPr>
          <w:lang w:val="en-IE"/>
        </w:rPr>
        <w:t>o</w:t>
      </w:r>
      <w:r w:rsidR="00290DFB" w:rsidRPr="00A01C01">
        <w:rPr>
          <w:lang w:val="en-IE"/>
        </w:rPr>
        <w:t xml:space="preserve">bjective: </w:t>
      </w:r>
    </w:p>
    <w:p w14:paraId="67394981" w14:textId="6AA2B85A" w:rsidR="00DC5D52" w:rsidRPr="00A01C01" w:rsidRDefault="00E6586F" w:rsidP="008A0C85">
      <w:pPr>
        <w:pStyle w:val="ListParagraph"/>
        <w:numPr>
          <w:ilvl w:val="0"/>
          <w:numId w:val="1"/>
        </w:numPr>
        <w:rPr>
          <w:iCs/>
          <w:lang w:val="en-IE"/>
        </w:rPr>
      </w:pPr>
      <w:r w:rsidRPr="00A01C01">
        <w:rPr>
          <w:b/>
          <w:iCs/>
          <w:lang w:val="en-IE"/>
        </w:rPr>
        <w:t>Introduction:</w:t>
      </w:r>
      <w:r w:rsidRPr="00A01C01">
        <w:rPr>
          <w:iCs/>
          <w:lang w:val="en-IE"/>
        </w:rPr>
        <w:t xml:space="preserve"> to explain</w:t>
      </w:r>
      <w:r w:rsidR="00DC5D52" w:rsidRPr="00A01C01">
        <w:rPr>
          <w:iCs/>
          <w:lang w:val="en-IE"/>
        </w:rPr>
        <w:t xml:space="preserve"> what baby WASH actions are and why they are important</w:t>
      </w:r>
      <w:r w:rsidRPr="00A01C01">
        <w:rPr>
          <w:iCs/>
          <w:lang w:val="en-IE"/>
        </w:rPr>
        <w:t xml:space="preserve"> </w:t>
      </w:r>
    </w:p>
    <w:p w14:paraId="0CEAE26B" w14:textId="2A1DF6F1" w:rsidR="00983A96" w:rsidRPr="00A01C01" w:rsidRDefault="00E6586F" w:rsidP="008A0C85">
      <w:pPr>
        <w:pStyle w:val="ListParagraph"/>
        <w:numPr>
          <w:ilvl w:val="0"/>
          <w:numId w:val="1"/>
        </w:numPr>
        <w:rPr>
          <w:iCs/>
          <w:lang w:val="en-IE"/>
        </w:rPr>
      </w:pPr>
      <w:r w:rsidRPr="00A01C01">
        <w:rPr>
          <w:b/>
          <w:iCs/>
          <w:lang w:val="en-IE"/>
        </w:rPr>
        <w:t>Module 1</w:t>
      </w:r>
      <w:r w:rsidRPr="00A01C01">
        <w:rPr>
          <w:iCs/>
          <w:lang w:val="en-IE"/>
        </w:rPr>
        <w:t>: t</w:t>
      </w:r>
      <w:r w:rsidR="00983A96" w:rsidRPr="00A01C01">
        <w:rPr>
          <w:iCs/>
          <w:lang w:val="en-IE"/>
        </w:rPr>
        <w:t>o p</w:t>
      </w:r>
      <w:r w:rsidR="00DC5D52" w:rsidRPr="00A01C01">
        <w:rPr>
          <w:iCs/>
          <w:lang w:val="en-IE"/>
        </w:rPr>
        <w:t xml:space="preserve">rovide guidance </w:t>
      </w:r>
      <w:r w:rsidR="00211BB9" w:rsidRPr="00A01C01">
        <w:rPr>
          <w:iCs/>
          <w:lang w:val="en-IE"/>
        </w:rPr>
        <w:t xml:space="preserve">and tools to </w:t>
      </w:r>
      <w:r w:rsidR="00631758" w:rsidRPr="00A01C01">
        <w:rPr>
          <w:iCs/>
          <w:lang w:val="en-IE"/>
        </w:rPr>
        <w:t>prepare for an initial gap analysis and to carry out the initial asssessment of baby WASH risk, practices and opportunities.</w:t>
      </w:r>
    </w:p>
    <w:p w14:paraId="4CCC8E5E" w14:textId="16A7E90F" w:rsidR="00E6586F" w:rsidRPr="00A01C01" w:rsidRDefault="00E6586F" w:rsidP="008A0C85">
      <w:pPr>
        <w:pStyle w:val="ListParagraph"/>
        <w:numPr>
          <w:ilvl w:val="0"/>
          <w:numId w:val="1"/>
        </w:numPr>
        <w:rPr>
          <w:iCs/>
          <w:lang w:val="en-IE"/>
        </w:rPr>
      </w:pPr>
      <w:r w:rsidRPr="00A01C01">
        <w:rPr>
          <w:b/>
          <w:iCs/>
          <w:lang w:val="en-IE"/>
        </w:rPr>
        <w:t>Module 2:</w:t>
      </w:r>
      <w:r w:rsidRPr="00A01C01">
        <w:rPr>
          <w:iCs/>
          <w:lang w:val="en-IE"/>
        </w:rPr>
        <w:t xml:space="preserve"> to </w:t>
      </w:r>
      <w:r w:rsidR="00445202" w:rsidRPr="00A01C01">
        <w:rPr>
          <w:iCs/>
          <w:lang w:val="en-IE"/>
        </w:rPr>
        <w:t>provide guidance on</w:t>
      </w:r>
      <w:r w:rsidR="009A3A92" w:rsidRPr="00A01C01">
        <w:rPr>
          <w:iCs/>
          <w:lang w:val="en-IE"/>
        </w:rPr>
        <w:t xml:space="preserve"> work</w:t>
      </w:r>
      <w:r w:rsidR="00445202" w:rsidRPr="00A01C01">
        <w:rPr>
          <w:iCs/>
          <w:lang w:val="en-IE"/>
        </w:rPr>
        <w:t>ing</w:t>
      </w:r>
      <w:r w:rsidR="009A3A92" w:rsidRPr="00A01C01">
        <w:rPr>
          <w:iCs/>
          <w:lang w:val="en-IE"/>
        </w:rPr>
        <w:t xml:space="preserve"> with communities to design baby WASH interventions that are relevant to their context.</w:t>
      </w:r>
      <w:r w:rsidR="00C6341D" w:rsidRPr="00A01C01">
        <w:rPr>
          <w:iCs/>
          <w:lang w:val="en-IE"/>
        </w:rPr>
        <w:t xml:space="preserve"> </w:t>
      </w:r>
    </w:p>
    <w:p w14:paraId="08B37E96" w14:textId="58C0A282" w:rsidR="00C6341D" w:rsidRPr="00A01C01" w:rsidRDefault="00C6341D" w:rsidP="008A0C85">
      <w:pPr>
        <w:pStyle w:val="ListParagraph"/>
        <w:numPr>
          <w:ilvl w:val="0"/>
          <w:numId w:val="1"/>
        </w:numPr>
        <w:rPr>
          <w:iCs/>
          <w:lang w:val="en-IE"/>
        </w:rPr>
      </w:pPr>
      <w:r w:rsidRPr="00A01C01">
        <w:rPr>
          <w:b/>
          <w:iCs/>
          <w:lang w:val="en-IE"/>
        </w:rPr>
        <w:t>Module 3:</w:t>
      </w:r>
      <w:r w:rsidRPr="00A01C01">
        <w:rPr>
          <w:iCs/>
          <w:lang w:val="en-IE"/>
        </w:rPr>
        <w:t xml:space="preserve"> </w:t>
      </w:r>
      <w:r w:rsidR="00445202" w:rsidRPr="00A01C01">
        <w:rPr>
          <w:iCs/>
          <w:lang w:val="en-IE"/>
        </w:rPr>
        <w:t>to provide guidance on how to monitor and evaluate baby WASH interventions</w:t>
      </w:r>
    </w:p>
    <w:p w14:paraId="468AEEA2" w14:textId="1B06E535" w:rsidR="00DC5D52" w:rsidRPr="00A01C01" w:rsidRDefault="00DC5D52">
      <w:pPr>
        <w:rPr>
          <w:lang w:val="en-IE"/>
        </w:rPr>
      </w:pPr>
      <w:r w:rsidRPr="00A01C01">
        <w:rPr>
          <w:lang w:val="en-IE"/>
        </w:rPr>
        <w:t>This guidance was developed by Concern HQ nutrition</w:t>
      </w:r>
      <w:r w:rsidR="004A7C41" w:rsidRPr="00A01C01">
        <w:rPr>
          <w:lang w:val="en-IE"/>
        </w:rPr>
        <w:t>, health</w:t>
      </w:r>
      <w:r w:rsidRPr="00A01C01">
        <w:rPr>
          <w:lang w:val="en-IE"/>
        </w:rPr>
        <w:t xml:space="preserve"> and WASH teams</w:t>
      </w:r>
      <w:r w:rsidR="00FD3C78" w:rsidRPr="00A01C01">
        <w:rPr>
          <w:lang w:val="en-IE"/>
        </w:rPr>
        <w:t xml:space="preserve"> with support from Chloe Angood from the Emergency Nutrition Network,</w:t>
      </w:r>
      <w:r w:rsidRPr="00A01C01">
        <w:rPr>
          <w:lang w:val="en-IE"/>
        </w:rPr>
        <w:t xml:space="preserve"> in close consultation with Concern country teams</w:t>
      </w:r>
      <w:r w:rsidR="00FD3C78" w:rsidRPr="00A01C01">
        <w:rPr>
          <w:lang w:val="en-IE"/>
        </w:rPr>
        <w:t>.</w:t>
      </w:r>
      <w:r w:rsidRPr="00A01C01">
        <w:rPr>
          <w:lang w:val="en-IE"/>
        </w:rPr>
        <w:t xml:space="preserve"> The guidance was first released in </w:t>
      </w:r>
      <w:r w:rsidR="00FD3C78" w:rsidRPr="00A01C01">
        <w:rPr>
          <w:lang w:val="en-IE"/>
        </w:rPr>
        <w:t xml:space="preserve">December </w:t>
      </w:r>
      <w:r w:rsidRPr="00A01C01">
        <w:rPr>
          <w:lang w:val="en-IE"/>
        </w:rPr>
        <w:t>2020 and will be piloted and reviewed in</w:t>
      </w:r>
      <w:r w:rsidR="00290DFB" w:rsidRPr="00A01C01">
        <w:rPr>
          <w:lang w:val="en-IE"/>
        </w:rPr>
        <w:t xml:space="preserve"> 2021</w:t>
      </w:r>
      <w:r w:rsidRPr="00A01C01">
        <w:rPr>
          <w:lang w:val="en-IE"/>
        </w:rPr>
        <w:t xml:space="preserve">. </w:t>
      </w:r>
    </w:p>
    <w:p w14:paraId="200A1865" w14:textId="77777777" w:rsidR="00983A96" w:rsidRPr="00A01C01" w:rsidRDefault="00983A96" w:rsidP="00983A96">
      <w:pPr>
        <w:pStyle w:val="Heading2"/>
        <w:rPr>
          <w:b/>
          <w:bCs/>
          <w:color w:val="00B050"/>
          <w:sz w:val="10"/>
          <w:szCs w:val="10"/>
          <w:lang w:val="en-IE"/>
        </w:rPr>
      </w:pPr>
    </w:p>
    <w:p w14:paraId="187CFDF6" w14:textId="0F0A97AA" w:rsidR="0028154E" w:rsidRPr="00A01C01" w:rsidRDefault="0028154E" w:rsidP="00983A96">
      <w:pPr>
        <w:pStyle w:val="Heading2"/>
        <w:rPr>
          <w:b/>
          <w:bCs/>
          <w:color w:val="00B050"/>
          <w:lang w:val="en-IE"/>
        </w:rPr>
      </w:pPr>
      <w:r w:rsidRPr="00A01C01">
        <w:rPr>
          <w:b/>
          <w:bCs/>
          <w:color w:val="00B050"/>
          <w:lang w:val="en-IE"/>
        </w:rPr>
        <w:t xml:space="preserve">What is </w:t>
      </w:r>
      <w:r w:rsidR="00C352C6" w:rsidRPr="00A01C01">
        <w:rPr>
          <w:b/>
          <w:bCs/>
          <w:color w:val="00B050"/>
          <w:lang w:val="en-IE"/>
        </w:rPr>
        <w:t>b</w:t>
      </w:r>
      <w:r w:rsidRPr="00A01C01">
        <w:rPr>
          <w:b/>
          <w:bCs/>
          <w:color w:val="00B050"/>
          <w:lang w:val="en-IE"/>
        </w:rPr>
        <w:t xml:space="preserve">aby WASH? </w:t>
      </w:r>
    </w:p>
    <w:p w14:paraId="1E86C556" w14:textId="7D307481" w:rsidR="00CF4764" w:rsidRPr="00A01C01" w:rsidRDefault="0028154E">
      <w:pPr>
        <w:rPr>
          <w:lang w:val="en-IE"/>
        </w:rPr>
      </w:pPr>
      <w:r w:rsidRPr="00A01C01">
        <w:rPr>
          <w:lang w:val="en-IE"/>
        </w:rPr>
        <w:t xml:space="preserve">Baby WASH is a set of actions targeted </w:t>
      </w:r>
      <w:r w:rsidR="00562744" w:rsidRPr="00A01C01">
        <w:rPr>
          <w:lang w:val="en-IE"/>
        </w:rPr>
        <w:t xml:space="preserve">to points of vulnerability across </w:t>
      </w:r>
      <w:r w:rsidRPr="00A01C01">
        <w:rPr>
          <w:lang w:val="en-IE"/>
        </w:rPr>
        <w:t>the first 1,000 days of life (conception through to</w:t>
      </w:r>
      <w:r w:rsidR="00322983">
        <w:rPr>
          <w:lang w:val="en-IE"/>
        </w:rPr>
        <w:t xml:space="preserve"> a</w:t>
      </w:r>
      <w:r w:rsidRPr="00A01C01">
        <w:rPr>
          <w:lang w:val="en-IE"/>
        </w:rPr>
        <w:t xml:space="preserve"> child’s second birthday)</w:t>
      </w:r>
      <w:r w:rsidR="0027146E" w:rsidRPr="00A01C01">
        <w:rPr>
          <w:lang w:val="en-IE"/>
        </w:rPr>
        <w:t>. They aim</w:t>
      </w:r>
      <w:r w:rsidRPr="00A01C01">
        <w:rPr>
          <w:lang w:val="en-IE"/>
        </w:rPr>
        <w:t xml:space="preserve"> to </w:t>
      </w:r>
      <w:r w:rsidR="007B153A" w:rsidRPr="00A01C01">
        <w:rPr>
          <w:lang w:val="en-IE"/>
        </w:rPr>
        <w:t xml:space="preserve">prevent infection during pregnancy, delivery, and a child’s first two months of life. It gives special focus to </w:t>
      </w:r>
      <w:r w:rsidR="009E75BB" w:rsidRPr="00A01C01">
        <w:rPr>
          <w:lang w:val="en-IE"/>
        </w:rPr>
        <w:t>interrupt</w:t>
      </w:r>
      <w:r w:rsidR="007B153A" w:rsidRPr="00A01C01">
        <w:rPr>
          <w:lang w:val="en-IE"/>
        </w:rPr>
        <w:t>ing</w:t>
      </w:r>
      <w:r w:rsidRPr="00A01C01">
        <w:rPr>
          <w:lang w:val="en-IE"/>
        </w:rPr>
        <w:t xml:space="preserve"> </w:t>
      </w:r>
      <w:r w:rsidR="007B153A" w:rsidRPr="00A01C01">
        <w:rPr>
          <w:lang w:val="en-IE"/>
        </w:rPr>
        <w:t xml:space="preserve">the </w:t>
      </w:r>
      <w:r w:rsidRPr="00A01C01">
        <w:rPr>
          <w:lang w:val="en-IE"/>
        </w:rPr>
        <w:t>fa</w:t>
      </w:r>
      <w:r w:rsidR="00B14C59" w:rsidRPr="00A01C01">
        <w:rPr>
          <w:lang w:val="en-IE"/>
        </w:rPr>
        <w:t>e</w:t>
      </w:r>
      <w:r w:rsidRPr="00A01C01">
        <w:rPr>
          <w:lang w:val="en-IE"/>
        </w:rPr>
        <w:t xml:space="preserve">cal-oral </w:t>
      </w:r>
      <w:r w:rsidR="007B153A" w:rsidRPr="00A01C01">
        <w:rPr>
          <w:lang w:val="en-IE"/>
        </w:rPr>
        <w:t>infection</w:t>
      </w:r>
      <w:r w:rsidRPr="00A01C01">
        <w:rPr>
          <w:lang w:val="en-IE"/>
        </w:rPr>
        <w:t xml:space="preserve"> route (</w:t>
      </w:r>
      <w:r w:rsidR="007B153A" w:rsidRPr="00A01C01">
        <w:rPr>
          <w:lang w:val="en-IE"/>
        </w:rPr>
        <w:t xml:space="preserve">human or animal </w:t>
      </w:r>
      <w:r w:rsidR="00B14C59" w:rsidRPr="00A01C01">
        <w:rPr>
          <w:lang w:val="en-IE"/>
        </w:rPr>
        <w:t>poo</w:t>
      </w:r>
      <w:r w:rsidRPr="00A01C01">
        <w:rPr>
          <w:lang w:val="en-IE"/>
        </w:rPr>
        <w:t xml:space="preserve"> </w:t>
      </w:r>
      <w:r w:rsidR="007B153A" w:rsidRPr="00A01C01">
        <w:rPr>
          <w:lang w:val="en-IE"/>
        </w:rPr>
        <w:t>entering the</w:t>
      </w:r>
      <w:r w:rsidRPr="00A01C01">
        <w:rPr>
          <w:lang w:val="en-IE"/>
        </w:rPr>
        <w:t xml:space="preserve"> mouth)</w:t>
      </w:r>
      <w:r w:rsidR="00322983">
        <w:rPr>
          <w:lang w:val="en-IE"/>
        </w:rPr>
        <w:t xml:space="preserve"> particularly for young children</w:t>
      </w:r>
      <w:r w:rsidRPr="00A01C01">
        <w:rPr>
          <w:lang w:val="en-IE"/>
        </w:rPr>
        <w:t xml:space="preserve">. The overall goal of these actions is to reduce risk of </w:t>
      </w:r>
      <w:r w:rsidR="004E6690" w:rsidRPr="00A01C01">
        <w:rPr>
          <w:lang w:val="en-IE"/>
        </w:rPr>
        <w:t xml:space="preserve">illness, </w:t>
      </w:r>
      <w:r w:rsidRPr="00A01C01">
        <w:rPr>
          <w:lang w:val="en-IE"/>
        </w:rPr>
        <w:t xml:space="preserve">undernutrition </w:t>
      </w:r>
      <w:r w:rsidR="004E6690" w:rsidRPr="00A01C01">
        <w:rPr>
          <w:lang w:val="en-IE"/>
        </w:rPr>
        <w:t xml:space="preserve">and death </w:t>
      </w:r>
      <w:r w:rsidRPr="00A01C01">
        <w:rPr>
          <w:lang w:val="en-IE"/>
        </w:rPr>
        <w:t xml:space="preserve">in children </w:t>
      </w:r>
      <w:r w:rsidR="00CC7297" w:rsidRPr="00A01C01">
        <w:rPr>
          <w:lang w:val="en-IE"/>
        </w:rPr>
        <w:t>under two years of age.</w:t>
      </w:r>
      <w:r w:rsidRPr="00A01C01">
        <w:rPr>
          <w:lang w:val="en-IE"/>
        </w:rPr>
        <w:t xml:space="preserve">  </w:t>
      </w:r>
    </w:p>
    <w:p w14:paraId="4A5ECD88" w14:textId="46F26A28" w:rsidR="00CF4764" w:rsidRPr="00465B5F" w:rsidRDefault="00CF4764" w:rsidP="00CF4764">
      <w:pPr>
        <w:rPr>
          <w:b/>
          <w:bCs/>
          <w:lang w:val="en-IE"/>
        </w:rPr>
      </w:pPr>
      <w:r w:rsidRPr="00C51C94">
        <w:rPr>
          <w:b/>
          <w:bCs/>
          <w:lang w:val="en-IE"/>
        </w:rPr>
        <w:t>Figure 1: How baby WASH interventions overlap with other sectoral programmes</w:t>
      </w:r>
    </w:p>
    <w:p w14:paraId="31FFB8E4" w14:textId="77777777" w:rsidR="00CF4764" w:rsidRPr="00C51C94" w:rsidRDefault="00CF4764" w:rsidP="00CF4764">
      <w:pPr>
        <w:rPr>
          <w:lang w:val="en-IE"/>
        </w:rPr>
      </w:pPr>
      <w:r w:rsidRPr="00465B5F">
        <w:rPr>
          <w:lang w:val="en-IE"/>
        </w:rPr>
        <w:t xml:space="preserve">                                  </w:t>
      </w:r>
      <w:r w:rsidRPr="00C51C94">
        <w:rPr>
          <w:noProof/>
          <w:lang w:val="en-IE" w:eastAsia="en-IE"/>
        </w:rPr>
        <w:drawing>
          <wp:inline distT="0" distB="0" distL="0" distR="0" wp14:anchorId="3A64DE8B" wp14:editId="2DE234CB">
            <wp:extent cx="3289300" cy="1892095"/>
            <wp:effectExtent l="19050" t="19050" r="25400" b="133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5921" cy="1895904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0F7629B" w14:textId="77777777" w:rsidR="00CF4764" w:rsidRPr="00A01C01" w:rsidRDefault="00CF4764">
      <w:pPr>
        <w:rPr>
          <w:lang w:val="en-IE"/>
        </w:rPr>
      </w:pPr>
    </w:p>
    <w:p w14:paraId="63E828F9" w14:textId="5CDF4C95" w:rsidR="00576191" w:rsidRPr="00A01C01" w:rsidRDefault="00562744" w:rsidP="00D9312F">
      <w:pPr>
        <w:pStyle w:val="Heading2"/>
        <w:rPr>
          <w:b/>
          <w:bCs/>
          <w:color w:val="00B050"/>
          <w:lang w:val="en-IE"/>
        </w:rPr>
      </w:pPr>
      <w:r w:rsidRPr="00A01C01">
        <w:rPr>
          <w:b/>
          <w:bCs/>
          <w:color w:val="00B050"/>
          <w:lang w:val="en-IE"/>
        </w:rPr>
        <w:lastRenderedPageBreak/>
        <w:t xml:space="preserve">What </w:t>
      </w:r>
      <w:r w:rsidR="00186906">
        <w:rPr>
          <w:b/>
          <w:bCs/>
          <w:color w:val="00B050"/>
          <w:lang w:val="en-IE"/>
        </w:rPr>
        <w:t>should</w:t>
      </w:r>
      <w:r w:rsidR="00186906" w:rsidRPr="00A01C01">
        <w:rPr>
          <w:b/>
          <w:bCs/>
          <w:color w:val="00B050"/>
          <w:lang w:val="en-IE"/>
        </w:rPr>
        <w:t xml:space="preserve"> </w:t>
      </w:r>
      <w:r w:rsidRPr="00A01C01">
        <w:rPr>
          <w:b/>
          <w:bCs/>
          <w:color w:val="00B050"/>
          <w:lang w:val="en-IE"/>
        </w:rPr>
        <w:t>baby WASH actions</w:t>
      </w:r>
      <w:r w:rsidR="00A92F0E">
        <w:rPr>
          <w:b/>
          <w:bCs/>
          <w:color w:val="00B050"/>
          <w:lang w:val="en-IE"/>
        </w:rPr>
        <w:t xml:space="preserve"> </w:t>
      </w:r>
      <w:r w:rsidR="00186906">
        <w:rPr>
          <w:b/>
          <w:bCs/>
          <w:color w:val="00B050"/>
          <w:lang w:val="en-IE"/>
        </w:rPr>
        <w:t>aim to do</w:t>
      </w:r>
      <w:r w:rsidRPr="00A01C01">
        <w:rPr>
          <w:b/>
          <w:bCs/>
          <w:color w:val="00B050"/>
          <w:lang w:val="en-IE"/>
        </w:rPr>
        <w:t xml:space="preserve">? </w:t>
      </w:r>
    </w:p>
    <w:p w14:paraId="05E00EB7" w14:textId="023E4DE5" w:rsidR="00562744" w:rsidRPr="00A01C01" w:rsidRDefault="00D9312F" w:rsidP="00EF581D">
      <w:pPr>
        <w:rPr>
          <w:lang w:val="en-IE"/>
        </w:rPr>
      </w:pPr>
      <w:r w:rsidRPr="00A01C01">
        <w:rPr>
          <w:lang w:val="en-IE"/>
        </w:rPr>
        <w:t xml:space="preserve">Baby WASH </w:t>
      </w:r>
      <w:r w:rsidR="0027146E" w:rsidRPr="00A01C01">
        <w:rPr>
          <w:lang w:val="en-IE"/>
        </w:rPr>
        <w:t>actions should be tailored in response to community needs. They may be targeted to households, communities or health facilities</w:t>
      </w:r>
      <w:r w:rsidR="0027146E" w:rsidRPr="00C51C94">
        <w:rPr>
          <w:lang w:val="en-US"/>
        </w:rPr>
        <w:t xml:space="preserve"> and </w:t>
      </w:r>
      <w:r w:rsidR="0027146E" w:rsidRPr="00A01C01">
        <w:rPr>
          <w:lang w:val="en-IE"/>
        </w:rPr>
        <w:t>will be most effective when nested within existing</w:t>
      </w:r>
      <w:r w:rsidR="00BC090B" w:rsidRPr="00A01C01">
        <w:rPr>
          <w:lang w:val="en-IE"/>
        </w:rPr>
        <w:t xml:space="preserve"> programmes</w:t>
      </w:r>
      <w:r w:rsidR="00EB72F0">
        <w:rPr>
          <w:lang w:val="en-IE"/>
        </w:rPr>
        <w:t xml:space="preserve"> that are already addressing or will address basic needs </w:t>
      </w:r>
      <w:r w:rsidR="00E86326">
        <w:rPr>
          <w:lang w:val="en-IE"/>
        </w:rPr>
        <w:t>across the</w:t>
      </w:r>
      <w:r w:rsidR="00EB72F0">
        <w:rPr>
          <w:lang w:val="en-IE"/>
        </w:rPr>
        <w:t xml:space="preserve"> WASH, nutrition, health and possibly livelihoods </w:t>
      </w:r>
      <w:r w:rsidR="00E86326">
        <w:rPr>
          <w:lang w:val="en-IE"/>
        </w:rPr>
        <w:t>sectors</w:t>
      </w:r>
      <w:r w:rsidR="0027146E" w:rsidRPr="00A01C01">
        <w:rPr>
          <w:lang w:val="en-IE"/>
        </w:rPr>
        <w:t xml:space="preserve">.  </w:t>
      </w:r>
      <w:r w:rsidR="00AA61FB" w:rsidRPr="00A01C01">
        <w:rPr>
          <w:lang w:val="en-IE"/>
        </w:rPr>
        <w:t xml:space="preserve">Table </w:t>
      </w:r>
      <w:r w:rsidR="0027146E" w:rsidRPr="00A01C01">
        <w:rPr>
          <w:lang w:val="en-IE"/>
        </w:rPr>
        <w:t xml:space="preserve">1 </w:t>
      </w:r>
      <w:r w:rsidR="00AA61FB" w:rsidRPr="00A01C01">
        <w:rPr>
          <w:lang w:val="en-IE"/>
        </w:rPr>
        <w:t>shows</w:t>
      </w:r>
      <w:r w:rsidR="00EB72F0">
        <w:rPr>
          <w:lang w:val="en-IE"/>
        </w:rPr>
        <w:t xml:space="preserve"> what additional</w:t>
      </w:r>
      <w:r w:rsidR="00BC090B" w:rsidRPr="00A01C01">
        <w:rPr>
          <w:lang w:val="en-IE"/>
        </w:rPr>
        <w:t xml:space="preserve"> </w:t>
      </w:r>
      <w:r w:rsidR="0027146E" w:rsidRPr="00A01C01">
        <w:rPr>
          <w:lang w:val="en-IE"/>
        </w:rPr>
        <w:t xml:space="preserve">baby WASH </w:t>
      </w:r>
      <w:r w:rsidR="00EB72F0" w:rsidRPr="00A01C01">
        <w:rPr>
          <w:lang w:val="en-IE"/>
        </w:rPr>
        <w:t>acti</w:t>
      </w:r>
      <w:r w:rsidR="00EB72F0">
        <w:rPr>
          <w:lang w:val="en-IE"/>
        </w:rPr>
        <w:t>vities should aim to do</w:t>
      </w:r>
      <w:r w:rsidR="00EB72F0" w:rsidRPr="00A01C01">
        <w:rPr>
          <w:lang w:val="en-IE"/>
        </w:rPr>
        <w:t xml:space="preserve"> </w:t>
      </w:r>
      <w:r w:rsidR="00AA61FB" w:rsidRPr="00A01C01">
        <w:rPr>
          <w:lang w:val="en-IE"/>
        </w:rPr>
        <w:t xml:space="preserve">to </w:t>
      </w:r>
      <w:r w:rsidR="00322983">
        <w:rPr>
          <w:lang w:val="en-IE"/>
        </w:rPr>
        <w:t>prevent infection</w:t>
      </w:r>
      <w:r w:rsidR="00AA61FB" w:rsidRPr="00A01C01">
        <w:rPr>
          <w:lang w:val="en-IE"/>
        </w:rPr>
        <w:t xml:space="preserve"> </w:t>
      </w:r>
      <w:r w:rsidR="00C51C94">
        <w:rPr>
          <w:lang w:val="en-IE"/>
        </w:rPr>
        <w:t>during</w:t>
      </w:r>
      <w:r w:rsidR="00C51C94" w:rsidRPr="00A01C01">
        <w:rPr>
          <w:lang w:val="en-IE"/>
        </w:rPr>
        <w:t xml:space="preserve"> </w:t>
      </w:r>
      <w:r w:rsidR="00EB72F0">
        <w:rPr>
          <w:lang w:val="en-IE"/>
        </w:rPr>
        <w:t>critical</w:t>
      </w:r>
      <w:r w:rsidR="00EB72F0" w:rsidRPr="00A01C01">
        <w:rPr>
          <w:lang w:val="en-IE"/>
        </w:rPr>
        <w:t xml:space="preserve"> </w:t>
      </w:r>
      <w:r w:rsidR="00C51C94" w:rsidRPr="00A01C01">
        <w:rPr>
          <w:lang w:val="en-IE"/>
        </w:rPr>
        <w:t>p</w:t>
      </w:r>
      <w:r w:rsidR="00C51C94">
        <w:rPr>
          <w:lang w:val="en-IE"/>
        </w:rPr>
        <w:t>eriods</w:t>
      </w:r>
      <w:r w:rsidR="00C51C94" w:rsidRPr="00A01C01">
        <w:rPr>
          <w:lang w:val="en-IE"/>
        </w:rPr>
        <w:t xml:space="preserve"> </w:t>
      </w:r>
      <w:r w:rsidR="0027146E" w:rsidRPr="00A01C01">
        <w:rPr>
          <w:lang w:val="en-IE"/>
        </w:rPr>
        <w:t>of vulnerability across the first 1,000 days of life</w:t>
      </w:r>
      <w:r w:rsidR="00BC090B" w:rsidRPr="00A01C01">
        <w:rPr>
          <w:lang w:val="en-IE"/>
        </w:rPr>
        <w:t>.</w:t>
      </w:r>
      <w:r w:rsidR="00A92F0E">
        <w:rPr>
          <w:lang w:val="en-IE"/>
        </w:rPr>
        <w:t xml:space="preserve"> </w:t>
      </w:r>
      <w:r w:rsidR="00EE5B7D">
        <w:rPr>
          <w:lang w:val="en-IE"/>
        </w:rPr>
        <w:t xml:space="preserve"> The priority baby WASH </w:t>
      </w:r>
      <w:r w:rsidR="00E86326">
        <w:rPr>
          <w:lang w:val="en-IE"/>
        </w:rPr>
        <w:t>areas</w:t>
      </w:r>
      <w:r w:rsidR="00EE5B7D">
        <w:rPr>
          <w:lang w:val="en-IE"/>
        </w:rPr>
        <w:t xml:space="preserve"> covered in this guide are highlighted in blue (see next section for further explanation).</w:t>
      </w:r>
    </w:p>
    <w:p w14:paraId="1A191BF0" w14:textId="2BD56C71" w:rsidR="003461A3" w:rsidRPr="00A01C01" w:rsidRDefault="00AA61FB" w:rsidP="007B153A">
      <w:pPr>
        <w:spacing w:after="0"/>
        <w:rPr>
          <w:b/>
          <w:bCs/>
          <w:lang w:val="en-IE"/>
        </w:rPr>
      </w:pPr>
      <w:r w:rsidRPr="00A01C01">
        <w:rPr>
          <w:b/>
          <w:bCs/>
          <w:lang w:val="en-IE"/>
        </w:rPr>
        <w:t xml:space="preserve">Table </w:t>
      </w:r>
      <w:r w:rsidR="003461A3" w:rsidRPr="00A01C01">
        <w:rPr>
          <w:b/>
          <w:bCs/>
          <w:lang w:val="en-IE"/>
        </w:rPr>
        <w:t xml:space="preserve">1: </w:t>
      </w:r>
      <w:r w:rsidR="00EB72F0">
        <w:rPr>
          <w:b/>
          <w:bCs/>
          <w:lang w:val="en-IE"/>
        </w:rPr>
        <w:t xml:space="preserve">What additional </w:t>
      </w:r>
      <w:r w:rsidR="003461A3" w:rsidRPr="00A01C01">
        <w:rPr>
          <w:b/>
          <w:bCs/>
          <w:lang w:val="en-IE"/>
        </w:rPr>
        <w:t xml:space="preserve">Baby WASH </w:t>
      </w:r>
      <w:r w:rsidR="00EB72F0" w:rsidRPr="00A01C01">
        <w:rPr>
          <w:b/>
          <w:bCs/>
          <w:lang w:val="en-IE"/>
        </w:rPr>
        <w:t>acti</w:t>
      </w:r>
      <w:r w:rsidR="00EB72F0">
        <w:rPr>
          <w:b/>
          <w:bCs/>
          <w:lang w:val="en-IE"/>
        </w:rPr>
        <w:t>vities aim to do</w:t>
      </w:r>
      <w:r w:rsidR="00EB72F0" w:rsidRPr="00A01C01">
        <w:rPr>
          <w:b/>
          <w:bCs/>
          <w:lang w:val="en-IE"/>
        </w:rPr>
        <w:t xml:space="preserve"> </w:t>
      </w:r>
      <w:r w:rsidR="003461A3" w:rsidRPr="00A01C01">
        <w:rPr>
          <w:b/>
          <w:bCs/>
          <w:lang w:val="en-IE"/>
        </w:rPr>
        <w:t xml:space="preserve">across the first 1,000 days of life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09"/>
        <w:gridCol w:w="2018"/>
      </w:tblGrid>
      <w:tr w:rsidR="007B153A" w:rsidRPr="00465B5F" w14:paraId="70362544" w14:textId="77777777" w:rsidTr="00A01C01">
        <w:tc>
          <w:tcPr>
            <w:tcW w:w="2263" w:type="dxa"/>
            <w:hideMark/>
          </w:tcPr>
          <w:p w14:paraId="26D2E0FF" w14:textId="77DF92B1" w:rsidR="007B153A" w:rsidRPr="00A01C01" w:rsidRDefault="00EB72F0">
            <w:pPr>
              <w:rPr>
                <w:rFonts w:ascii="Arial" w:hAnsi="Arial" w:cs="Arial"/>
                <w:b/>
                <w:sz w:val="20"/>
                <w:lang w:val="en-IE"/>
              </w:rPr>
            </w:pPr>
            <w:r>
              <w:rPr>
                <w:rFonts w:ascii="Arial" w:hAnsi="Arial" w:cs="Arial"/>
                <w:b/>
                <w:sz w:val="20"/>
                <w:lang w:val="en-IE"/>
              </w:rPr>
              <w:t xml:space="preserve">Actions </w:t>
            </w:r>
            <w:r w:rsidR="007B153A" w:rsidRPr="00A01C01">
              <w:rPr>
                <w:rFonts w:ascii="Arial" w:hAnsi="Arial" w:cs="Arial"/>
                <w:b/>
                <w:sz w:val="20"/>
                <w:lang w:val="en-IE"/>
              </w:rPr>
              <w:t xml:space="preserve">that should already be </w:t>
            </w:r>
            <w:r>
              <w:rPr>
                <w:rFonts w:ascii="Arial" w:hAnsi="Arial" w:cs="Arial"/>
                <w:b/>
                <w:sz w:val="20"/>
                <w:lang w:val="en-IE"/>
              </w:rPr>
              <w:t xml:space="preserve">covered </w:t>
            </w:r>
            <w:r w:rsidR="007B153A" w:rsidRPr="00A01C01">
              <w:rPr>
                <w:rFonts w:ascii="Arial" w:hAnsi="Arial" w:cs="Arial"/>
                <w:b/>
                <w:sz w:val="20"/>
                <w:lang w:val="en-IE"/>
              </w:rPr>
              <w:t>by wider programming</w:t>
            </w:r>
          </w:p>
        </w:tc>
        <w:tc>
          <w:tcPr>
            <w:tcW w:w="1843" w:type="dxa"/>
            <w:hideMark/>
          </w:tcPr>
          <w:p w14:paraId="030E5A14" w14:textId="77777777" w:rsidR="007B153A" w:rsidRPr="00A01C01" w:rsidRDefault="007B153A" w:rsidP="002A22F1">
            <w:pPr>
              <w:rPr>
                <w:rFonts w:ascii="Arial" w:hAnsi="Arial" w:cs="Arial"/>
                <w:b/>
                <w:sz w:val="20"/>
                <w:lang w:val="en-IE"/>
              </w:rPr>
            </w:pPr>
            <w:r w:rsidRPr="00A01C01">
              <w:rPr>
                <w:rFonts w:ascii="Arial" w:hAnsi="Arial" w:cs="Arial"/>
                <w:b/>
                <w:sz w:val="20"/>
                <w:lang w:val="en-IE"/>
              </w:rPr>
              <w:t>Vulnerable periods during the first 1000 days</w:t>
            </w:r>
          </w:p>
        </w:tc>
        <w:tc>
          <w:tcPr>
            <w:tcW w:w="3827" w:type="dxa"/>
            <w:gridSpan w:val="2"/>
            <w:hideMark/>
          </w:tcPr>
          <w:p w14:paraId="58A250A9" w14:textId="77777777" w:rsidR="007B153A" w:rsidRPr="00A01C01" w:rsidRDefault="007B153A" w:rsidP="002A22F1">
            <w:pPr>
              <w:rPr>
                <w:rFonts w:ascii="Arial" w:hAnsi="Arial" w:cs="Arial"/>
                <w:b/>
                <w:sz w:val="20"/>
                <w:lang w:val="en-IE"/>
              </w:rPr>
            </w:pPr>
          </w:p>
          <w:p w14:paraId="65FD415B" w14:textId="570B9140" w:rsidR="007B153A" w:rsidRPr="00A01C01" w:rsidRDefault="007B153A" w:rsidP="002A22F1">
            <w:pPr>
              <w:rPr>
                <w:rFonts w:ascii="Arial" w:hAnsi="Arial" w:cs="Arial"/>
                <w:b/>
                <w:sz w:val="20"/>
                <w:lang w:val="en-IE"/>
              </w:rPr>
            </w:pPr>
            <w:r w:rsidRPr="00A01C01">
              <w:rPr>
                <w:rFonts w:ascii="Arial" w:hAnsi="Arial" w:cs="Arial"/>
                <w:b/>
                <w:sz w:val="20"/>
                <w:lang w:val="en-IE"/>
              </w:rPr>
              <w:t xml:space="preserve">Additional Baby WASH </w:t>
            </w:r>
            <w:r w:rsidR="00EB72F0">
              <w:rPr>
                <w:rFonts w:ascii="Arial" w:hAnsi="Arial" w:cs="Arial"/>
                <w:b/>
                <w:sz w:val="20"/>
                <w:lang w:val="en-IE"/>
              </w:rPr>
              <w:t>activities should aim to:</w:t>
            </w:r>
          </w:p>
          <w:p w14:paraId="3FC1285C" w14:textId="77777777" w:rsidR="007B153A" w:rsidRPr="00A01C01" w:rsidRDefault="007B153A" w:rsidP="002A22F1">
            <w:pPr>
              <w:rPr>
                <w:rFonts w:ascii="Arial" w:hAnsi="Arial" w:cs="Arial"/>
                <w:b/>
                <w:sz w:val="20"/>
                <w:lang w:val="en-IE"/>
              </w:rPr>
            </w:pPr>
          </w:p>
        </w:tc>
      </w:tr>
      <w:tr w:rsidR="00EE5B7D" w:rsidRPr="00465B5F" w14:paraId="73978F2B" w14:textId="77777777" w:rsidTr="00A01C01">
        <w:trPr>
          <w:trHeight w:val="1204"/>
        </w:trPr>
        <w:tc>
          <w:tcPr>
            <w:tcW w:w="2263" w:type="dxa"/>
            <w:vMerge w:val="restart"/>
          </w:tcPr>
          <w:p w14:paraId="6840855B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  <w:p w14:paraId="0E48E461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  <w:p w14:paraId="1D6E1B6E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  <w:p w14:paraId="241F1BA9" w14:textId="71D03550" w:rsidR="00EE5B7D" w:rsidRPr="00A01C01" w:rsidRDefault="00322983" w:rsidP="002A22F1">
            <w:pPr>
              <w:rPr>
                <w:rFonts w:ascii="Arial" w:hAnsi="Arial" w:cs="Arial"/>
                <w:sz w:val="20"/>
                <w:lang w:val="en-IE"/>
              </w:rPr>
            </w:pPr>
            <w:r>
              <w:rPr>
                <w:rFonts w:ascii="Arial" w:hAnsi="Arial" w:cs="Arial"/>
                <w:sz w:val="20"/>
                <w:lang w:val="en-IE"/>
              </w:rPr>
              <w:t>Improving</w:t>
            </w:r>
            <w:r w:rsidRPr="00A01C01">
              <w:rPr>
                <w:rFonts w:ascii="Arial" w:hAnsi="Arial" w:cs="Arial"/>
                <w:sz w:val="20"/>
                <w:lang w:val="en-IE"/>
              </w:rPr>
              <w:t xml:space="preserve"> </w:t>
            </w:r>
            <w:r w:rsidR="00EE5B7D" w:rsidRPr="00A01C01">
              <w:rPr>
                <w:rFonts w:ascii="Arial" w:hAnsi="Arial" w:cs="Arial"/>
                <w:sz w:val="20"/>
                <w:lang w:val="en-IE"/>
              </w:rPr>
              <w:t>access to quality water services &amp; sanitation</w:t>
            </w:r>
          </w:p>
          <w:p w14:paraId="5874EDEC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  <w:p w14:paraId="18D8542C" w14:textId="5B9A41EF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  <w:r w:rsidRPr="00A01C01">
              <w:rPr>
                <w:rFonts w:ascii="Arial" w:hAnsi="Arial" w:cs="Arial"/>
                <w:sz w:val="20"/>
                <w:lang w:val="en-IE"/>
              </w:rPr>
              <w:t>Promot</w:t>
            </w:r>
            <w:r w:rsidR="00322983">
              <w:rPr>
                <w:rFonts w:ascii="Arial" w:hAnsi="Arial" w:cs="Arial"/>
                <w:sz w:val="20"/>
                <w:lang w:val="en-IE"/>
              </w:rPr>
              <w:t>ing</w:t>
            </w:r>
            <w:r w:rsidRPr="00A01C01">
              <w:rPr>
                <w:rFonts w:ascii="Arial" w:hAnsi="Arial" w:cs="Arial"/>
                <w:sz w:val="20"/>
                <w:lang w:val="en-IE"/>
              </w:rPr>
              <w:t xml:space="preserve"> basic hygiene, nutrition and health practices</w:t>
            </w:r>
          </w:p>
          <w:p w14:paraId="3E21E2DE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  <w:p w14:paraId="3509320B" w14:textId="061DE8E9" w:rsidR="00EE5B7D" w:rsidRPr="00A01C01" w:rsidRDefault="00322983" w:rsidP="002A22F1">
            <w:pPr>
              <w:rPr>
                <w:rFonts w:ascii="Arial" w:hAnsi="Arial" w:cs="Arial"/>
                <w:sz w:val="20"/>
                <w:lang w:val="en-IE"/>
              </w:rPr>
            </w:pPr>
            <w:r>
              <w:rPr>
                <w:rFonts w:ascii="Arial" w:hAnsi="Arial" w:cs="Arial"/>
                <w:sz w:val="20"/>
                <w:lang w:val="en-IE"/>
              </w:rPr>
              <w:t>Improving</w:t>
            </w:r>
            <w:r w:rsidRPr="00A01C01">
              <w:rPr>
                <w:rFonts w:ascii="Arial" w:hAnsi="Arial" w:cs="Arial"/>
                <w:sz w:val="20"/>
                <w:lang w:val="en-IE"/>
              </w:rPr>
              <w:t xml:space="preserve"> </w:t>
            </w:r>
            <w:r w:rsidR="00EE5B7D" w:rsidRPr="00A01C01">
              <w:rPr>
                <w:rFonts w:ascii="Arial" w:hAnsi="Arial" w:cs="Arial"/>
                <w:sz w:val="20"/>
                <w:lang w:val="en-IE"/>
              </w:rPr>
              <w:t>access to essential health</w:t>
            </w:r>
            <w:r>
              <w:rPr>
                <w:rFonts w:ascii="Arial" w:hAnsi="Arial" w:cs="Arial"/>
                <w:sz w:val="20"/>
                <w:lang w:val="en-IE"/>
              </w:rPr>
              <w:t xml:space="preserve"> services and strengthening health systems</w:t>
            </w:r>
          </w:p>
          <w:p w14:paraId="3CD1B034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  <w:p w14:paraId="21E057AC" w14:textId="447CECDD" w:rsidR="00EE5B7D" w:rsidRPr="00465B5F" w:rsidRDefault="00322983" w:rsidP="002A22F1">
            <w:pPr>
              <w:rPr>
                <w:rFonts w:ascii="Arial" w:hAnsi="Arial" w:cs="Arial"/>
                <w:sz w:val="20"/>
                <w:lang w:val="en-IE"/>
              </w:rPr>
            </w:pPr>
            <w:r>
              <w:rPr>
                <w:rFonts w:ascii="Arial" w:hAnsi="Arial" w:cs="Arial"/>
                <w:sz w:val="20"/>
                <w:lang w:val="en-IE"/>
              </w:rPr>
              <w:t>Improving</w:t>
            </w:r>
            <w:r w:rsidRPr="00A01C01">
              <w:rPr>
                <w:rFonts w:ascii="Arial" w:hAnsi="Arial" w:cs="Arial"/>
                <w:sz w:val="20"/>
                <w:lang w:val="en-IE"/>
              </w:rPr>
              <w:t xml:space="preserve"> </w:t>
            </w:r>
            <w:r w:rsidR="00EE5B7D" w:rsidRPr="00A01C01">
              <w:rPr>
                <w:rFonts w:ascii="Arial" w:hAnsi="Arial" w:cs="Arial"/>
                <w:sz w:val="20"/>
                <w:lang w:val="en-IE"/>
              </w:rPr>
              <w:t>access to livelihoods, nutritious diet and coverage of basic needs</w:t>
            </w:r>
          </w:p>
          <w:p w14:paraId="53619D6C" w14:textId="1312B5C0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</w:tc>
        <w:tc>
          <w:tcPr>
            <w:tcW w:w="1843" w:type="dxa"/>
            <w:vAlign w:val="center"/>
            <w:hideMark/>
          </w:tcPr>
          <w:p w14:paraId="62E10C9A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  <w:r w:rsidRPr="00A01C01">
              <w:rPr>
                <w:rFonts w:ascii="Arial" w:hAnsi="Arial" w:cs="Arial"/>
                <w:sz w:val="20"/>
                <w:lang w:val="en-IE"/>
              </w:rPr>
              <w:t>Pregnancy</w:t>
            </w:r>
          </w:p>
        </w:tc>
        <w:tc>
          <w:tcPr>
            <w:tcW w:w="3827" w:type="dxa"/>
            <w:gridSpan w:val="2"/>
            <w:vAlign w:val="center"/>
            <w:hideMark/>
          </w:tcPr>
          <w:p w14:paraId="6EAD5E03" w14:textId="77777777" w:rsidR="00EE5B7D" w:rsidRPr="00A01C01" w:rsidRDefault="00EE5B7D" w:rsidP="007B153A">
            <w:pPr>
              <w:pStyle w:val="ListParagraph"/>
              <w:numPr>
                <w:ilvl w:val="0"/>
                <w:numId w:val="31"/>
              </w:numPr>
              <w:ind w:left="286" w:hanging="286"/>
              <w:rPr>
                <w:rFonts w:ascii="Arial" w:hAnsi="Arial" w:cs="Arial"/>
                <w:sz w:val="20"/>
                <w:lang w:val="en-IE"/>
              </w:rPr>
            </w:pPr>
            <w:r w:rsidRPr="00A01C01">
              <w:rPr>
                <w:rFonts w:ascii="Arial" w:hAnsi="Arial" w:cs="Arial"/>
                <w:sz w:val="20"/>
                <w:lang w:val="en-IE"/>
              </w:rPr>
              <w:t>Ensure optimal hygiene during pregnancy</w:t>
            </w:r>
          </w:p>
          <w:p w14:paraId="0BFC92C7" w14:textId="4DE7884B" w:rsidR="00EE5B7D" w:rsidRPr="00A01C01" w:rsidRDefault="00EE5B7D" w:rsidP="007B153A">
            <w:pPr>
              <w:pStyle w:val="ListParagraph"/>
              <w:numPr>
                <w:ilvl w:val="0"/>
                <w:numId w:val="31"/>
              </w:numPr>
              <w:ind w:left="286" w:hanging="286"/>
              <w:rPr>
                <w:rFonts w:ascii="Arial" w:hAnsi="Arial" w:cs="Arial"/>
                <w:sz w:val="20"/>
                <w:lang w:val="en-IE"/>
              </w:rPr>
            </w:pPr>
            <w:r w:rsidRPr="00A01C01">
              <w:rPr>
                <w:rFonts w:ascii="Arial" w:hAnsi="Arial" w:cs="Arial"/>
                <w:sz w:val="20"/>
                <w:lang w:val="en-IE"/>
              </w:rPr>
              <w:t xml:space="preserve">Prevent </w:t>
            </w:r>
            <w:r w:rsidR="00322983">
              <w:rPr>
                <w:rFonts w:ascii="Arial" w:hAnsi="Arial" w:cs="Arial"/>
                <w:sz w:val="20"/>
                <w:lang w:val="en-IE"/>
              </w:rPr>
              <w:t xml:space="preserve">pregnant women from </w:t>
            </w:r>
            <w:r w:rsidRPr="00A01C01">
              <w:rPr>
                <w:rFonts w:ascii="Arial" w:hAnsi="Arial" w:cs="Arial"/>
                <w:sz w:val="20"/>
                <w:lang w:val="en-IE"/>
              </w:rPr>
              <w:t>carrying heavy loads such as water for the household</w:t>
            </w:r>
          </w:p>
        </w:tc>
      </w:tr>
      <w:tr w:rsidR="00EE5B7D" w:rsidRPr="00465B5F" w14:paraId="748F0A5B" w14:textId="77777777" w:rsidTr="00A01C01">
        <w:trPr>
          <w:trHeight w:val="1185"/>
        </w:trPr>
        <w:tc>
          <w:tcPr>
            <w:tcW w:w="2263" w:type="dxa"/>
            <w:vMerge/>
            <w:hideMark/>
          </w:tcPr>
          <w:p w14:paraId="185C4B47" w14:textId="451AAFEF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</w:tc>
        <w:tc>
          <w:tcPr>
            <w:tcW w:w="1843" w:type="dxa"/>
            <w:vAlign w:val="center"/>
            <w:hideMark/>
          </w:tcPr>
          <w:p w14:paraId="27C09093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  <w:r w:rsidRPr="00A01C01">
              <w:rPr>
                <w:rFonts w:ascii="Arial" w:hAnsi="Arial" w:cs="Arial"/>
                <w:sz w:val="20"/>
                <w:lang w:val="en-IE"/>
              </w:rPr>
              <w:t>Labour &amp; delivery</w:t>
            </w:r>
          </w:p>
        </w:tc>
        <w:tc>
          <w:tcPr>
            <w:tcW w:w="3827" w:type="dxa"/>
            <w:gridSpan w:val="2"/>
            <w:shd w:val="clear" w:color="auto" w:fill="00B0F0"/>
            <w:vAlign w:val="center"/>
            <w:hideMark/>
          </w:tcPr>
          <w:p w14:paraId="21773092" w14:textId="3D452802" w:rsidR="00EE5B7D" w:rsidRPr="00A01C01" w:rsidRDefault="00EE5B7D" w:rsidP="007B153A">
            <w:pPr>
              <w:pStyle w:val="ListParagraph"/>
              <w:numPr>
                <w:ilvl w:val="0"/>
                <w:numId w:val="31"/>
              </w:numPr>
              <w:ind w:left="286" w:hanging="286"/>
              <w:rPr>
                <w:rFonts w:ascii="Arial" w:hAnsi="Arial" w:cs="Arial"/>
                <w:b/>
                <w:sz w:val="20"/>
                <w:lang w:val="en-IE"/>
              </w:rPr>
            </w:pPr>
            <w:r w:rsidRPr="00A01C01">
              <w:rPr>
                <w:rFonts w:ascii="Arial" w:hAnsi="Arial" w:cs="Arial"/>
                <w:b/>
                <w:sz w:val="20"/>
                <w:lang w:val="en-IE"/>
              </w:rPr>
              <w:t>Ensure a clean birth (at health facility or at home)</w:t>
            </w:r>
          </w:p>
        </w:tc>
      </w:tr>
      <w:tr w:rsidR="00EE5B7D" w:rsidRPr="00465B5F" w14:paraId="71FA35A6" w14:textId="77777777" w:rsidTr="00A01C01">
        <w:trPr>
          <w:trHeight w:val="1155"/>
        </w:trPr>
        <w:tc>
          <w:tcPr>
            <w:tcW w:w="2263" w:type="dxa"/>
            <w:vMerge/>
            <w:hideMark/>
          </w:tcPr>
          <w:p w14:paraId="2E8D438A" w14:textId="1795EA4D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</w:tc>
        <w:tc>
          <w:tcPr>
            <w:tcW w:w="1843" w:type="dxa"/>
            <w:vAlign w:val="center"/>
            <w:hideMark/>
          </w:tcPr>
          <w:p w14:paraId="7C64CFFC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  <w:r w:rsidRPr="00A01C01">
              <w:rPr>
                <w:rFonts w:ascii="Arial" w:hAnsi="Arial" w:cs="Arial"/>
                <w:sz w:val="20"/>
                <w:lang w:val="en-IE"/>
              </w:rPr>
              <w:t>Early infancy (first six months)</w:t>
            </w:r>
          </w:p>
        </w:tc>
        <w:tc>
          <w:tcPr>
            <w:tcW w:w="1809" w:type="dxa"/>
            <w:vMerge w:val="restart"/>
            <w:shd w:val="clear" w:color="auto" w:fill="00B0F0"/>
            <w:vAlign w:val="center"/>
            <w:hideMark/>
          </w:tcPr>
          <w:p w14:paraId="428BE1FF" w14:textId="77777777" w:rsidR="00EE5B7D" w:rsidRPr="00A01C01" w:rsidRDefault="00EE5B7D" w:rsidP="007B153A">
            <w:pPr>
              <w:pStyle w:val="ListParagraph"/>
              <w:numPr>
                <w:ilvl w:val="0"/>
                <w:numId w:val="31"/>
              </w:numPr>
              <w:ind w:left="286" w:hanging="286"/>
              <w:rPr>
                <w:rFonts w:ascii="Arial" w:hAnsi="Arial" w:cs="Arial"/>
                <w:b/>
                <w:sz w:val="20"/>
                <w:lang w:val="en-IE"/>
              </w:rPr>
            </w:pPr>
            <w:r w:rsidRPr="00A01C01">
              <w:rPr>
                <w:rFonts w:ascii="Arial" w:hAnsi="Arial" w:cs="Arial"/>
                <w:b/>
                <w:sz w:val="20"/>
                <w:lang w:val="en-IE"/>
              </w:rPr>
              <w:t>Ensure safe disposal of infant faeces (‘poo’)</w:t>
            </w:r>
          </w:p>
        </w:tc>
        <w:tc>
          <w:tcPr>
            <w:tcW w:w="2018" w:type="dxa"/>
            <w:vAlign w:val="center"/>
            <w:hideMark/>
          </w:tcPr>
          <w:p w14:paraId="0B69B966" w14:textId="77777777" w:rsidR="00EE5B7D" w:rsidRPr="00A01C01" w:rsidRDefault="00EE5B7D" w:rsidP="007B153A">
            <w:pPr>
              <w:pStyle w:val="ListParagraph"/>
              <w:numPr>
                <w:ilvl w:val="0"/>
                <w:numId w:val="31"/>
              </w:numPr>
              <w:ind w:left="286" w:hanging="286"/>
              <w:rPr>
                <w:rFonts w:ascii="Arial" w:hAnsi="Arial" w:cs="Arial"/>
                <w:sz w:val="20"/>
                <w:lang w:val="en-IE"/>
              </w:rPr>
            </w:pPr>
            <w:r w:rsidRPr="00A01C01">
              <w:rPr>
                <w:rFonts w:ascii="Arial" w:hAnsi="Arial" w:cs="Arial"/>
                <w:sz w:val="20"/>
                <w:lang w:val="en-IE"/>
              </w:rPr>
              <w:t>Exclusive breastfeeding: critical for nutrition and to prevent infection</w:t>
            </w:r>
          </w:p>
        </w:tc>
      </w:tr>
      <w:tr w:rsidR="00EE5B7D" w:rsidRPr="00465B5F" w14:paraId="29415E43" w14:textId="77777777" w:rsidTr="00A01C01">
        <w:trPr>
          <w:trHeight w:val="1317"/>
        </w:trPr>
        <w:tc>
          <w:tcPr>
            <w:tcW w:w="2263" w:type="dxa"/>
            <w:vMerge/>
            <w:hideMark/>
          </w:tcPr>
          <w:p w14:paraId="26E918F8" w14:textId="4B1244B2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14:paraId="576F98B7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  <w:r w:rsidRPr="00A01C01">
              <w:rPr>
                <w:rFonts w:ascii="Arial" w:hAnsi="Arial" w:cs="Arial"/>
                <w:sz w:val="20"/>
                <w:lang w:val="en-IE"/>
              </w:rPr>
              <w:t>Mobility/ exploration (starting to crawl) and complementary feeding (6-23 months)</w:t>
            </w:r>
          </w:p>
        </w:tc>
        <w:tc>
          <w:tcPr>
            <w:tcW w:w="1809" w:type="dxa"/>
            <w:vMerge/>
            <w:shd w:val="clear" w:color="auto" w:fill="00B0F0"/>
            <w:vAlign w:val="center"/>
            <w:hideMark/>
          </w:tcPr>
          <w:p w14:paraId="6F428E47" w14:textId="77777777" w:rsidR="00EE5B7D" w:rsidRPr="00A01C01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</w:tc>
        <w:tc>
          <w:tcPr>
            <w:tcW w:w="2018" w:type="dxa"/>
            <w:shd w:val="clear" w:color="auto" w:fill="00B0F0"/>
            <w:vAlign w:val="center"/>
            <w:hideMark/>
          </w:tcPr>
          <w:p w14:paraId="6210600B" w14:textId="5ACE5E37" w:rsidR="00EE5B7D" w:rsidRPr="00A01C01" w:rsidRDefault="00EE5B7D" w:rsidP="00A01C01">
            <w:pPr>
              <w:pStyle w:val="ListParagraph"/>
              <w:numPr>
                <w:ilvl w:val="0"/>
                <w:numId w:val="31"/>
              </w:numPr>
              <w:ind w:left="286" w:hanging="286"/>
              <w:rPr>
                <w:rFonts w:ascii="Arial" w:hAnsi="Arial" w:cs="Arial"/>
                <w:sz w:val="20"/>
                <w:lang w:val="en-IE"/>
              </w:rPr>
            </w:pPr>
            <w:r w:rsidRPr="00A01C01">
              <w:rPr>
                <w:rFonts w:ascii="Arial" w:hAnsi="Arial" w:cs="Arial"/>
                <w:b/>
                <w:sz w:val="20"/>
                <w:lang w:val="en-IE"/>
              </w:rPr>
              <w:t>Ensure clean household environment and safe play space (free of animal faeces)</w:t>
            </w:r>
          </w:p>
        </w:tc>
      </w:tr>
      <w:tr w:rsidR="00EE5B7D" w:rsidRPr="00465B5F" w14:paraId="477ADFC7" w14:textId="77777777" w:rsidTr="00A01C01">
        <w:trPr>
          <w:trHeight w:val="884"/>
        </w:trPr>
        <w:tc>
          <w:tcPr>
            <w:tcW w:w="2263" w:type="dxa"/>
            <w:vMerge/>
          </w:tcPr>
          <w:p w14:paraId="2E0DB506" w14:textId="301340D4" w:rsidR="00EE5B7D" w:rsidRPr="00465B5F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</w:tc>
        <w:tc>
          <w:tcPr>
            <w:tcW w:w="1843" w:type="dxa"/>
            <w:vMerge/>
            <w:vAlign w:val="center"/>
          </w:tcPr>
          <w:p w14:paraId="5EE67DB8" w14:textId="77777777" w:rsidR="00EE5B7D" w:rsidRPr="00465B5F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</w:tc>
        <w:tc>
          <w:tcPr>
            <w:tcW w:w="1809" w:type="dxa"/>
            <w:vMerge/>
            <w:shd w:val="clear" w:color="auto" w:fill="00B0F0"/>
            <w:vAlign w:val="center"/>
          </w:tcPr>
          <w:p w14:paraId="4B71F42E" w14:textId="77777777" w:rsidR="00EE5B7D" w:rsidRPr="00465B5F" w:rsidRDefault="00EE5B7D" w:rsidP="002A22F1">
            <w:pPr>
              <w:rPr>
                <w:rFonts w:ascii="Arial" w:hAnsi="Arial" w:cs="Arial"/>
                <w:sz w:val="20"/>
                <w:lang w:val="en-IE"/>
              </w:rPr>
            </w:pPr>
          </w:p>
        </w:tc>
        <w:tc>
          <w:tcPr>
            <w:tcW w:w="2018" w:type="dxa"/>
            <w:vAlign w:val="center"/>
          </w:tcPr>
          <w:p w14:paraId="6DB1579C" w14:textId="06CAA89F" w:rsidR="00EE5B7D" w:rsidRPr="00EE5B7D" w:rsidRDefault="00EE5B7D" w:rsidP="007B153A">
            <w:pPr>
              <w:pStyle w:val="ListParagraph"/>
              <w:numPr>
                <w:ilvl w:val="0"/>
                <w:numId w:val="31"/>
              </w:numPr>
              <w:ind w:left="286" w:hanging="286"/>
              <w:rPr>
                <w:rFonts w:ascii="Arial" w:hAnsi="Arial" w:cs="Arial"/>
                <w:b/>
                <w:sz w:val="20"/>
                <w:lang w:val="en-IE"/>
              </w:rPr>
            </w:pPr>
            <w:r w:rsidRPr="002A22F1">
              <w:rPr>
                <w:rFonts w:ascii="Arial" w:hAnsi="Arial" w:cs="Arial"/>
                <w:sz w:val="20"/>
                <w:lang w:val="en-IE"/>
              </w:rPr>
              <w:t>Ensure hygienic complementary feeding</w:t>
            </w:r>
          </w:p>
        </w:tc>
      </w:tr>
    </w:tbl>
    <w:p w14:paraId="75EB0E60" w14:textId="77777777" w:rsidR="00465B5F" w:rsidRPr="00A01C01" w:rsidRDefault="00465B5F" w:rsidP="00BC090B">
      <w:pPr>
        <w:rPr>
          <w:lang w:val="en-IE"/>
        </w:rPr>
      </w:pPr>
    </w:p>
    <w:p w14:paraId="611AE103" w14:textId="15C544FA" w:rsidR="00BB0A7F" w:rsidRDefault="00465B5F" w:rsidP="00BB0A7F">
      <w:pPr>
        <w:rPr>
          <w:lang w:val="en-IE"/>
        </w:rPr>
      </w:pPr>
      <w:r w:rsidRPr="00A01C01">
        <w:rPr>
          <w:lang w:val="en-IE"/>
        </w:rPr>
        <w:t>The specific activities a programme undertakes to promote these a</w:t>
      </w:r>
      <w:r w:rsidR="00BC090B" w:rsidRPr="00A01C01">
        <w:rPr>
          <w:lang w:val="en-IE"/>
        </w:rPr>
        <w:t xml:space="preserve">ctions should be tailored to local needs and </w:t>
      </w:r>
      <w:r w:rsidR="00A92F0E">
        <w:rPr>
          <w:lang w:val="en-IE"/>
        </w:rPr>
        <w:t>preferenc</w:t>
      </w:r>
      <w:r w:rsidR="00A92F0E" w:rsidRPr="00A01C01">
        <w:rPr>
          <w:lang w:val="en-IE"/>
        </w:rPr>
        <w:t xml:space="preserve">es </w:t>
      </w:r>
      <w:r w:rsidR="00BC090B" w:rsidRPr="00A01C01">
        <w:rPr>
          <w:lang w:val="en-IE"/>
        </w:rPr>
        <w:t>and should involve not just mothers, but also men, community leaders and health workers. Acti</w:t>
      </w:r>
      <w:r w:rsidR="00A92F0E">
        <w:rPr>
          <w:lang w:val="en-IE"/>
        </w:rPr>
        <w:t xml:space="preserve">vities </w:t>
      </w:r>
      <w:r w:rsidR="00BC090B" w:rsidRPr="00A01C01">
        <w:rPr>
          <w:lang w:val="en-IE"/>
        </w:rPr>
        <w:t>will likely include a mix of social behaviour change communication (SBCC)</w:t>
      </w:r>
      <w:r w:rsidR="00594551">
        <w:rPr>
          <w:lang w:val="en-IE"/>
        </w:rPr>
        <w:t xml:space="preserve">, </w:t>
      </w:r>
      <w:r w:rsidRPr="00A01C01">
        <w:rPr>
          <w:lang w:val="en-IE"/>
        </w:rPr>
        <w:t>support</w:t>
      </w:r>
      <w:r w:rsidR="00594551">
        <w:rPr>
          <w:lang w:val="en-IE"/>
        </w:rPr>
        <w:t>ing</w:t>
      </w:r>
      <w:r w:rsidRPr="00A01C01">
        <w:rPr>
          <w:lang w:val="en-IE"/>
        </w:rPr>
        <w:t xml:space="preserve"> </w:t>
      </w:r>
      <w:r w:rsidR="00A92F0E">
        <w:rPr>
          <w:lang w:val="en-IE"/>
        </w:rPr>
        <w:t>households to</w:t>
      </w:r>
      <w:r w:rsidR="00594551">
        <w:rPr>
          <w:lang w:val="en-IE"/>
        </w:rPr>
        <w:t xml:space="preserve"> build skills to</w:t>
      </w:r>
      <w:r w:rsidR="00A92F0E">
        <w:rPr>
          <w:lang w:val="en-IE"/>
        </w:rPr>
        <w:t xml:space="preserve"> undertake </w:t>
      </w:r>
      <w:r w:rsidR="00594551">
        <w:rPr>
          <w:lang w:val="en-IE"/>
        </w:rPr>
        <w:t>‘</w:t>
      </w:r>
      <w:r w:rsidR="00BC090B" w:rsidRPr="00A01C01">
        <w:rPr>
          <w:lang w:val="en-IE"/>
        </w:rPr>
        <w:t>small do-able actions</w:t>
      </w:r>
      <w:r w:rsidR="00594551">
        <w:rPr>
          <w:lang w:val="en-IE"/>
        </w:rPr>
        <w:t>’</w:t>
      </w:r>
      <w:r w:rsidR="00BC090B" w:rsidRPr="00A01C01">
        <w:rPr>
          <w:lang w:val="en-IE"/>
        </w:rPr>
        <w:t xml:space="preserve"> </w:t>
      </w:r>
      <w:r w:rsidR="00594551">
        <w:rPr>
          <w:lang w:val="en-IE"/>
        </w:rPr>
        <w:t>and strategies to</w:t>
      </w:r>
      <w:r w:rsidRPr="00A01C01">
        <w:rPr>
          <w:lang w:val="en-IE"/>
        </w:rPr>
        <w:t xml:space="preserve"> improv</w:t>
      </w:r>
      <w:r w:rsidR="00594551">
        <w:rPr>
          <w:lang w:val="en-IE"/>
        </w:rPr>
        <w:t xml:space="preserve">e </w:t>
      </w:r>
      <w:r w:rsidRPr="00A01C01">
        <w:rPr>
          <w:lang w:val="en-IE"/>
        </w:rPr>
        <w:t xml:space="preserve">access to tools people </w:t>
      </w:r>
      <w:r w:rsidR="00BB0A7F">
        <w:rPr>
          <w:lang w:val="en-IE"/>
        </w:rPr>
        <w:t xml:space="preserve">may </w:t>
      </w:r>
      <w:r w:rsidRPr="00A01C01">
        <w:rPr>
          <w:lang w:val="en-IE"/>
        </w:rPr>
        <w:t xml:space="preserve">need to </w:t>
      </w:r>
      <w:r w:rsidR="00BB0A7F">
        <w:rPr>
          <w:lang w:val="en-IE"/>
        </w:rPr>
        <w:t>carry out</w:t>
      </w:r>
      <w:r w:rsidRPr="00A01C01">
        <w:rPr>
          <w:lang w:val="en-IE"/>
        </w:rPr>
        <w:t xml:space="preserve"> the new baby WASH practices</w:t>
      </w:r>
      <w:r w:rsidR="00BC090B" w:rsidRPr="00A01C01">
        <w:rPr>
          <w:lang w:val="en-IE"/>
        </w:rPr>
        <w:t xml:space="preserve">. </w:t>
      </w:r>
      <w:r w:rsidR="00BB0A7F">
        <w:rPr>
          <w:lang w:val="en-IE"/>
        </w:rPr>
        <w:t xml:space="preserve"> It is ideal if at least some channels for social and behaviour change communication (SBCC), particularly at community level, are already established.  </w:t>
      </w:r>
      <w:r w:rsidR="00186906">
        <w:rPr>
          <w:lang w:val="en-IE"/>
        </w:rPr>
        <w:t xml:space="preserve">For more detailed examples of possible Baby WASH activities please see Module </w:t>
      </w:r>
      <w:r w:rsidR="00186906" w:rsidRPr="00A01C01">
        <w:rPr>
          <w:highlight w:val="yellow"/>
          <w:lang w:val="en-IE"/>
        </w:rPr>
        <w:t>1 and 2</w:t>
      </w:r>
      <w:r w:rsidR="00186906">
        <w:rPr>
          <w:lang w:val="en-IE"/>
        </w:rPr>
        <w:t>.</w:t>
      </w:r>
    </w:p>
    <w:p w14:paraId="178C8201" w14:textId="51BE0EAF" w:rsidR="00254247" w:rsidRDefault="00254247" w:rsidP="00BB0A7F">
      <w:pPr>
        <w:rPr>
          <w:lang w:val="en-IE"/>
        </w:rPr>
      </w:pPr>
    </w:p>
    <w:p w14:paraId="03463F99" w14:textId="77777777" w:rsidR="00254247" w:rsidRPr="002A22F1" w:rsidRDefault="00254247" w:rsidP="00BB0A7F">
      <w:pPr>
        <w:rPr>
          <w:lang w:val="en-IE"/>
        </w:rPr>
      </w:pPr>
    </w:p>
    <w:p w14:paraId="1BC1CC3A" w14:textId="3552806F" w:rsidR="00BC090B" w:rsidRPr="00A01C01" w:rsidRDefault="00BC090B" w:rsidP="00BC090B">
      <w:pPr>
        <w:rPr>
          <w:lang w:val="en-IE"/>
        </w:rPr>
      </w:pPr>
    </w:p>
    <w:p w14:paraId="20F7583E" w14:textId="090DF26E" w:rsidR="00A61AE3" w:rsidRPr="00A01C01" w:rsidRDefault="00A61AE3" w:rsidP="00A61AE3">
      <w:pPr>
        <w:pStyle w:val="Heading2"/>
        <w:rPr>
          <w:b/>
          <w:bCs/>
          <w:color w:val="00B050"/>
          <w:lang w:val="en-IE"/>
        </w:rPr>
      </w:pPr>
      <w:r w:rsidRPr="00A01C01">
        <w:rPr>
          <w:b/>
          <w:bCs/>
          <w:color w:val="00B050"/>
          <w:lang w:val="en-IE"/>
        </w:rPr>
        <w:t xml:space="preserve">Which baby WASH actions does this guidance focus on? </w:t>
      </w:r>
    </w:p>
    <w:p w14:paraId="7AF69297" w14:textId="676FA8EA" w:rsidR="0076125D" w:rsidRPr="00A01C01" w:rsidRDefault="00465B5F" w:rsidP="00BC090B">
      <w:pPr>
        <w:rPr>
          <w:lang w:val="en-IE"/>
        </w:rPr>
      </w:pPr>
      <w:r w:rsidRPr="00A01C01">
        <w:rPr>
          <w:lang w:val="en-IE"/>
        </w:rPr>
        <w:t xml:space="preserve">This guide focuses on the three baby WASH actions that </w:t>
      </w:r>
      <w:r w:rsidR="00594551">
        <w:rPr>
          <w:lang w:val="en-IE"/>
        </w:rPr>
        <w:t xml:space="preserve">are not </w:t>
      </w:r>
      <w:r w:rsidR="00BB0A7F">
        <w:rPr>
          <w:lang w:val="en-IE"/>
        </w:rPr>
        <w:t xml:space="preserve">already </w:t>
      </w:r>
      <w:r w:rsidR="00F72159">
        <w:rPr>
          <w:lang w:val="en-IE"/>
        </w:rPr>
        <w:t xml:space="preserve">typically </w:t>
      </w:r>
      <w:r w:rsidR="00594551">
        <w:rPr>
          <w:lang w:val="en-IE"/>
        </w:rPr>
        <w:t>covered by existing Concern programmes</w:t>
      </w:r>
      <w:r w:rsidR="00BB0A7F">
        <w:rPr>
          <w:lang w:val="en-IE"/>
        </w:rPr>
        <w:t xml:space="preserve">. These three are also the ones that are likely to </w:t>
      </w:r>
      <w:r w:rsidRPr="00A01C01">
        <w:rPr>
          <w:lang w:val="en-IE"/>
        </w:rPr>
        <w:t xml:space="preserve">fit best </w:t>
      </w:r>
      <w:r w:rsidR="00BB0A7F">
        <w:rPr>
          <w:lang w:val="en-IE"/>
        </w:rPr>
        <w:t xml:space="preserve">with </w:t>
      </w:r>
      <w:r w:rsidR="00F72159">
        <w:rPr>
          <w:lang w:val="en-IE"/>
        </w:rPr>
        <w:t xml:space="preserve">the </w:t>
      </w:r>
      <w:r w:rsidR="005F03A2">
        <w:rPr>
          <w:lang w:val="en-IE"/>
        </w:rPr>
        <w:t xml:space="preserve">WASH, nutrition, health and livelihoods </w:t>
      </w:r>
      <w:r w:rsidR="00BB0A7F">
        <w:rPr>
          <w:lang w:val="en-IE"/>
        </w:rPr>
        <w:t>activities that Concern usually supports</w:t>
      </w:r>
      <w:r w:rsidR="00F72159">
        <w:rPr>
          <w:lang w:val="en-IE"/>
        </w:rPr>
        <w:t>. Figure 2 outlines the three</w:t>
      </w:r>
      <w:r w:rsidR="00BB0A7F">
        <w:rPr>
          <w:lang w:val="en-IE"/>
        </w:rPr>
        <w:t xml:space="preserve"> focal areas, and they are also highlighted in blue above.</w:t>
      </w:r>
    </w:p>
    <w:p w14:paraId="509CBE40" w14:textId="27CB7B3C" w:rsidR="00787202" w:rsidRPr="00A01C01" w:rsidRDefault="00787202" w:rsidP="00BC090B">
      <w:pPr>
        <w:rPr>
          <w:b/>
          <w:lang w:val="en-IE"/>
        </w:rPr>
      </w:pPr>
      <w:r w:rsidRPr="00A01C01">
        <w:rPr>
          <w:b/>
          <w:lang w:val="en-IE"/>
        </w:rPr>
        <w:t>Figure 2: Focal areas of baby WASH for this guidance</w:t>
      </w:r>
    </w:p>
    <w:p w14:paraId="31A10B3D" w14:textId="41B0001C" w:rsidR="00BC090B" w:rsidRPr="00A01C01" w:rsidRDefault="00BC090B" w:rsidP="00BC090B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IE"/>
        </w:rPr>
      </w:pPr>
      <w:r w:rsidRPr="00A01C01">
        <w:rPr>
          <w:lang w:val="en-IE"/>
        </w:rPr>
        <w:t xml:space="preserve">Safe disposal of </w:t>
      </w:r>
      <w:r w:rsidR="00DC1642">
        <w:rPr>
          <w:lang w:val="en-IE"/>
        </w:rPr>
        <w:t>infant</w:t>
      </w:r>
      <w:r w:rsidR="00DC1642" w:rsidRPr="00A01C01">
        <w:rPr>
          <w:lang w:val="en-IE"/>
        </w:rPr>
        <w:t xml:space="preserve"> </w:t>
      </w:r>
      <w:r w:rsidRPr="00C51C94">
        <w:rPr>
          <w:lang w:val="en-IE"/>
        </w:rPr>
        <w:t>faeces</w:t>
      </w:r>
    </w:p>
    <w:p w14:paraId="0A38F9B5" w14:textId="1801099E" w:rsidR="00BC090B" w:rsidRPr="00A01C01" w:rsidRDefault="00BC090B" w:rsidP="00BC090B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IE"/>
        </w:rPr>
      </w:pPr>
      <w:r w:rsidRPr="00A01C01">
        <w:rPr>
          <w:lang w:val="en-IE"/>
        </w:rPr>
        <w:t xml:space="preserve">Clean household </w:t>
      </w:r>
      <w:r w:rsidR="00465B5F" w:rsidRPr="00A01C01">
        <w:rPr>
          <w:lang w:val="en-IE"/>
        </w:rPr>
        <w:t xml:space="preserve">environment and safe </w:t>
      </w:r>
      <w:r w:rsidRPr="00A01C01">
        <w:rPr>
          <w:lang w:val="en-IE"/>
        </w:rPr>
        <w:t xml:space="preserve">play spaces (free from animal faeces) </w:t>
      </w:r>
    </w:p>
    <w:p w14:paraId="46D0405D" w14:textId="77777777" w:rsidR="00BC090B" w:rsidRPr="00A01C01" w:rsidRDefault="00BC090B" w:rsidP="00BC090B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IE"/>
        </w:rPr>
      </w:pPr>
      <w:r w:rsidRPr="00A01C01">
        <w:rPr>
          <w:lang w:val="en-IE"/>
        </w:rPr>
        <w:t>Clean birth</w:t>
      </w:r>
    </w:p>
    <w:p w14:paraId="5A27AB91" w14:textId="77777777" w:rsidR="00BC090B" w:rsidRPr="00A01C01" w:rsidRDefault="00BC090B" w:rsidP="00C352C6">
      <w:pPr>
        <w:pStyle w:val="Heading2"/>
        <w:rPr>
          <w:b/>
          <w:bCs/>
          <w:color w:val="00B050"/>
          <w:lang w:val="en-IE"/>
        </w:rPr>
      </w:pPr>
    </w:p>
    <w:p w14:paraId="55AAD030" w14:textId="4A091998" w:rsidR="00C85FA7" w:rsidRPr="00A01C01" w:rsidRDefault="00C85FA7" w:rsidP="00C352C6">
      <w:pPr>
        <w:pStyle w:val="Heading2"/>
        <w:rPr>
          <w:b/>
          <w:bCs/>
          <w:color w:val="00B050"/>
          <w:lang w:val="en-IE"/>
        </w:rPr>
      </w:pPr>
      <w:r w:rsidRPr="00A01C01">
        <w:rPr>
          <w:b/>
          <w:bCs/>
          <w:color w:val="00B050"/>
          <w:lang w:val="en-IE"/>
        </w:rPr>
        <w:t xml:space="preserve">Why </w:t>
      </w:r>
      <w:r w:rsidR="000B7A52" w:rsidRPr="00A01C01">
        <w:rPr>
          <w:b/>
          <w:bCs/>
          <w:color w:val="00B050"/>
          <w:lang w:val="en-IE"/>
        </w:rPr>
        <w:t xml:space="preserve">are </w:t>
      </w:r>
      <w:r w:rsidR="00C352C6" w:rsidRPr="00A01C01">
        <w:rPr>
          <w:b/>
          <w:bCs/>
          <w:color w:val="00B050"/>
          <w:lang w:val="en-IE"/>
        </w:rPr>
        <w:t>b</w:t>
      </w:r>
      <w:r w:rsidR="00AD0647" w:rsidRPr="00A01C01">
        <w:rPr>
          <w:b/>
          <w:bCs/>
          <w:color w:val="00B050"/>
          <w:lang w:val="en-IE"/>
        </w:rPr>
        <w:t xml:space="preserve">aby WASH </w:t>
      </w:r>
      <w:r w:rsidR="000B7A52" w:rsidRPr="00A01C01">
        <w:rPr>
          <w:b/>
          <w:bCs/>
          <w:color w:val="00B050"/>
          <w:lang w:val="en-IE"/>
        </w:rPr>
        <w:t xml:space="preserve">actions </w:t>
      </w:r>
      <w:r w:rsidRPr="00A01C01">
        <w:rPr>
          <w:b/>
          <w:bCs/>
          <w:color w:val="00B050"/>
          <w:lang w:val="en-IE"/>
        </w:rPr>
        <w:t xml:space="preserve">important? </w:t>
      </w:r>
    </w:p>
    <w:p w14:paraId="7203BA1C" w14:textId="21646536" w:rsidR="00F72159" w:rsidRDefault="00DC1642" w:rsidP="00B8535A">
      <w:pPr>
        <w:rPr>
          <w:lang w:val="en-IE"/>
        </w:rPr>
      </w:pPr>
      <w:r>
        <w:rPr>
          <w:lang w:val="en-IE"/>
        </w:rPr>
        <w:t>The r</w:t>
      </w:r>
      <w:r w:rsidR="00465B5F" w:rsidRPr="00A01C01">
        <w:rPr>
          <w:lang w:val="en-IE"/>
        </w:rPr>
        <w:t xml:space="preserve">isk of infection </w:t>
      </w:r>
      <w:r>
        <w:rPr>
          <w:lang w:val="en-IE"/>
        </w:rPr>
        <w:t>is high during pregnancy, delivery and the first two years of life, which impacts child and maternal mortality, nutritional status and quality of life.</w:t>
      </w:r>
    </w:p>
    <w:p w14:paraId="1B42AC66" w14:textId="7ADAA4E6" w:rsidR="00D50923" w:rsidRPr="00A01C01" w:rsidRDefault="00DC1642" w:rsidP="00B8535A">
      <w:pPr>
        <w:rPr>
          <w:lang w:val="en-IE"/>
        </w:rPr>
      </w:pPr>
      <w:r w:rsidRPr="00A01C01">
        <w:rPr>
          <w:b/>
          <w:i/>
          <w:lang w:val="en-IE"/>
        </w:rPr>
        <w:t>Safe disposal of child faeces &amp; clean household environment/ play spaces</w:t>
      </w:r>
      <w:r>
        <w:rPr>
          <w:lang w:val="en-IE"/>
        </w:rPr>
        <w:t xml:space="preserve">. </w:t>
      </w:r>
      <w:r w:rsidR="00465B5F" w:rsidRPr="00A01C01">
        <w:rPr>
          <w:lang w:val="en-IE"/>
        </w:rPr>
        <w:t xml:space="preserve">As soon as babies </w:t>
      </w:r>
      <w:r>
        <w:rPr>
          <w:lang w:val="en-IE"/>
        </w:rPr>
        <w:t>can crawl</w:t>
      </w:r>
      <w:r w:rsidR="00D50923" w:rsidRPr="00A01C01">
        <w:rPr>
          <w:lang w:val="en-IE"/>
        </w:rPr>
        <w:t xml:space="preserve">, frequent hand-to-mouth behaviours </w:t>
      </w:r>
      <w:r w:rsidR="004D614B" w:rsidRPr="00A01C01">
        <w:rPr>
          <w:lang w:val="en-IE"/>
        </w:rPr>
        <w:t xml:space="preserve">of infants </w:t>
      </w:r>
      <w:r w:rsidR="00D50923" w:rsidRPr="00A01C01">
        <w:rPr>
          <w:lang w:val="en-IE"/>
        </w:rPr>
        <w:t xml:space="preserve">are common. These </w:t>
      </w:r>
      <w:r w:rsidR="002007FB" w:rsidRPr="00A01C01">
        <w:rPr>
          <w:lang w:val="en-IE"/>
        </w:rPr>
        <w:t xml:space="preserve">increase </w:t>
      </w:r>
      <w:r w:rsidR="00D50923" w:rsidRPr="00A01C01">
        <w:rPr>
          <w:lang w:val="en-IE"/>
        </w:rPr>
        <w:t>the risk of environmental contamination,</w:t>
      </w:r>
      <w:r w:rsidR="002007FB" w:rsidRPr="00A01C01">
        <w:rPr>
          <w:lang w:val="en-IE"/>
        </w:rPr>
        <w:t xml:space="preserve"> </w:t>
      </w:r>
      <w:r w:rsidR="00D50923" w:rsidRPr="00A01C01">
        <w:rPr>
          <w:lang w:val="en-IE"/>
        </w:rPr>
        <w:t xml:space="preserve">which </w:t>
      </w:r>
      <w:r w:rsidR="002007FB" w:rsidRPr="00A01C01">
        <w:rPr>
          <w:lang w:val="en-IE"/>
        </w:rPr>
        <w:t xml:space="preserve">can lead to </w:t>
      </w:r>
      <w:r w:rsidR="00D50923" w:rsidRPr="00A01C01">
        <w:rPr>
          <w:lang w:val="en-IE"/>
        </w:rPr>
        <w:t>diarrheal illness</w:t>
      </w:r>
      <w:r w:rsidR="00867DD9" w:rsidRPr="00A01C01">
        <w:rPr>
          <w:lang w:val="en-IE"/>
        </w:rPr>
        <w:t>.</w:t>
      </w:r>
      <w:r w:rsidR="00D50923" w:rsidRPr="00A01C01">
        <w:rPr>
          <w:lang w:val="en-IE"/>
        </w:rPr>
        <w:t xml:space="preserve"> Research suggests that the proper disposal of human and animal faeces in the immediate household environment can reduce diarrhoeal disease in children by more than 30%.</w:t>
      </w:r>
      <w:r w:rsidR="00D50923" w:rsidRPr="00A01C01">
        <w:rPr>
          <w:vertAlign w:val="superscript"/>
          <w:lang w:val="en-IE"/>
        </w:rPr>
        <w:t>2</w:t>
      </w:r>
      <w:r w:rsidR="00D50923" w:rsidRPr="00A01C01">
        <w:rPr>
          <w:lang w:val="en-IE"/>
        </w:rPr>
        <w:t xml:space="preserve"> </w:t>
      </w:r>
      <w:r w:rsidR="00867DD9" w:rsidRPr="00A01C01">
        <w:rPr>
          <w:lang w:val="en-IE"/>
        </w:rPr>
        <w:t xml:space="preserve">An association between WASH interventions and reductions in child wasting </w:t>
      </w:r>
      <w:r w:rsidR="004D614B" w:rsidRPr="00A01C01">
        <w:rPr>
          <w:lang w:val="en-IE"/>
        </w:rPr>
        <w:t xml:space="preserve">is supported by strong logic, although evidence </w:t>
      </w:r>
      <w:r w:rsidR="00290DFB" w:rsidRPr="00A01C01">
        <w:rPr>
          <w:lang w:val="en-IE"/>
        </w:rPr>
        <w:t xml:space="preserve">that </w:t>
      </w:r>
      <w:r w:rsidR="004D614B" w:rsidRPr="00A01C01">
        <w:rPr>
          <w:lang w:val="en-IE"/>
        </w:rPr>
        <w:t>clearly demonstrate</w:t>
      </w:r>
      <w:r w:rsidR="00290DFB" w:rsidRPr="00A01C01">
        <w:rPr>
          <w:lang w:val="en-IE"/>
        </w:rPr>
        <w:t>s</w:t>
      </w:r>
      <w:r w:rsidR="004D614B" w:rsidRPr="00A01C01">
        <w:rPr>
          <w:lang w:val="en-IE"/>
        </w:rPr>
        <w:t xml:space="preserve"> this is so far lacking.</w:t>
      </w:r>
      <w:r w:rsidR="00867DD9" w:rsidRPr="00A01C01">
        <w:rPr>
          <w:rStyle w:val="FootnoteReference"/>
          <w:lang w:val="en-IE"/>
        </w:rPr>
        <w:footnoteReference w:id="1"/>
      </w:r>
      <w:r w:rsidR="004D614B" w:rsidRPr="00A01C01">
        <w:rPr>
          <w:lang w:val="en-IE"/>
        </w:rPr>
        <w:t xml:space="preserve"> It is also hypothesised that </w:t>
      </w:r>
      <w:r w:rsidR="00681D3F" w:rsidRPr="00A01C01">
        <w:rPr>
          <w:lang w:val="en-IE"/>
        </w:rPr>
        <w:t>interrupting the faecal-oral transmission route can avoid environmental enteric dysfunction – a disorder of the gut that can lead to stunting</w:t>
      </w:r>
      <w:r w:rsidR="00867DD9" w:rsidRPr="00A01C01">
        <w:rPr>
          <w:lang w:val="en-IE"/>
        </w:rPr>
        <w:t>,</w:t>
      </w:r>
      <w:r w:rsidR="004D614B" w:rsidRPr="00A01C01">
        <w:rPr>
          <w:rStyle w:val="FootnoteReference"/>
          <w:lang w:val="en-IE"/>
        </w:rPr>
        <w:t xml:space="preserve"> </w:t>
      </w:r>
      <w:r w:rsidR="004D614B" w:rsidRPr="00A01C01">
        <w:rPr>
          <w:rStyle w:val="FootnoteReference"/>
          <w:lang w:val="en-IE"/>
        </w:rPr>
        <w:footnoteReference w:id="2"/>
      </w:r>
      <w:r w:rsidR="00867DD9" w:rsidRPr="00A01C01">
        <w:rPr>
          <w:lang w:val="en-IE"/>
        </w:rPr>
        <w:t xml:space="preserve"> although again, </w:t>
      </w:r>
      <w:r w:rsidR="00EF581D" w:rsidRPr="00A01C01">
        <w:rPr>
          <w:lang w:val="en-IE"/>
        </w:rPr>
        <w:t xml:space="preserve">more </w:t>
      </w:r>
      <w:r w:rsidR="00867DD9" w:rsidRPr="00A01C01">
        <w:rPr>
          <w:lang w:val="en-IE"/>
        </w:rPr>
        <w:t xml:space="preserve">high quality evidence </w:t>
      </w:r>
      <w:r w:rsidR="00EF581D" w:rsidRPr="00A01C01">
        <w:rPr>
          <w:lang w:val="en-IE"/>
        </w:rPr>
        <w:t>is needed to support this.</w:t>
      </w:r>
      <w:r w:rsidR="004D614B" w:rsidRPr="00A01C01">
        <w:rPr>
          <w:rStyle w:val="FootnoteReference"/>
          <w:lang w:val="en-IE"/>
        </w:rPr>
        <w:footnoteReference w:id="3"/>
      </w:r>
      <w:r w:rsidR="00681D3F" w:rsidRPr="00A01C01">
        <w:rPr>
          <w:lang w:val="en-IE"/>
        </w:rPr>
        <w:t xml:space="preserve"> </w:t>
      </w:r>
    </w:p>
    <w:p w14:paraId="5B28189E" w14:textId="7801F97D" w:rsidR="000B7A52" w:rsidRPr="00A01C01" w:rsidRDefault="00DC1642" w:rsidP="000B7A52">
      <w:pPr>
        <w:rPr>
          <w:lang w:val="en-IE"/>
        </w:rPr>
      </w:pPr>
      <w:r w:rsidRPr="00A01C01">
        <w:rPr>
          <w:b/>
          <w:i/>
          <w:lang w:val="en-IE"/>
        </w:rPr>
        <w:t>Clean birth</w:t>
      </w:r>
      <w:r>
        <w:rPr>
          <w:lang w:val="en-IE"/>
        </w:rPr>
        <w:t xml:space="preserve">. </w:t>
      </w:r>
      <w:r w:rsidR="000B7A52" w:rsidRPr="00A01C01">
        <w:rPr>
          <w:lang w:val="en-IE"/>
        </w:rPr>
        <w:t>Labour and delivery are times when both mother and child are at risk of unexpected complications, infection, and death. Around 40% of deaths for all children under five occur in the neonatal period; most of these deaths can be prevented. Research shows that ‘clean’ childbirth could avert six to nine percent of the 1.16 million newborn deaths in sub-Saharan Africa.</w:t>
      </w:r>
      <w:r w:rsidR="000B7A52" w:rsidRPr="00A01C01">
        <w:rPr>
          <w:rStyle w:val="FootnoteReference"/>
          <w:lang w:val="en-IE"/>
        </w:rPr>
        <w:footnoteReference w:id="4"/>
      </w:r>
      <w:r w:rsidR="000B7A52" w:rsidRPr="00A01C01">
        <w:rPr>
          <w:lang w:val="en-IE"/>
        </w:rPr>
        <w:t xml:space="preserve"> Handwashing by both the mother and birth attendants alone could decrease the risk of neonatal death by over 40%, tetanus by over 36% and cord infection by 49%.</w:t>
      </w:r>
      <w:r w:rsidR="000B7A52" w:rsidRPr="00A01C01">
        <w:rPr>
          <w:rStyle w:val="FootnoteReference"/>
          <w:lang w:val="en-IE"/>
        </w:rPr>
        <w:footnoteReference w:id="5"/>
      </w:r>
      <w:r w:rsidR="000B7A52" w:rsidRPr="00A01C01">
        <w:rPr>
          <w:lang w:val="en-IE"/>
        </w:rPr>
        <w:t xml:space="preserve"> </w:t>
      </w:r>
    </w:p>
    <w:sectPr w:rsidR="000B7A52" w:rsidRPr="00A01C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3C473" w14:textId="77777777" w:rsidR="005E6514" w:rsidRDefault="005E6514" w:rsidP="00CC7297">
      <w:pPr>
        <w:spacing w:after="0" w:line="240" w:lineRule="auto"/>
      </w:pPr>
      <w:r>
        <w:separator/>
      </w:r>
    </w:p>
  </w:endnote>
  <w:endnote w:type="continuationSeparator" w:id="0">
    <w:p w14:paraId="049B6791" w14:textId="77777777" w:rsidR="005E6514" w:rsidRDefault="005E6514" w:rsidP="00CC7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System Font Regular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Bahnschrift Light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D5EDE" w14:textId="77777777" w:rsidR="005E6514" w:rsidRDefault="005E6514" w:rsidP="00CC7297">
      <w:pPr>
        <w:spacing w:after="0" w:line="240" w:lineRule="auto"/>
      </w:pPr>
      <w:r>
        <w:separator/>
      </w:r>
    </w:p>
  </w:footnote>
  <w:footnote w:type="continuationSeparator" w:id="0">
    <w:p w14:paraId="1851839A" w14:textId="77777777" w:rsidR="005E6514" w:rsidRDefault="005E6514" w:rsidP="00CC7297">
      <w:pPr>
        <w:spacing w:after="0" w:line="240" w:lineRule="auto"/>
      </w:pPr>
      <w:r>
        <w:continuationSeparator/>
      </w:r>
    </w:p>
  </w:footnote>
  <w:footnote w:id="1">
    <w:p w14:paraId="10B2626C" w14:textId="6FA16B89" w:rsidR="00E6586F" w:rsidRPr="00867DD9" w:rsidRDefault="00E6586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Stobaugh, H. (2020). Impacts of WASH on acute malnutrition: from available scientific evidence to informed action. R4ACT. </w:t>
      </w:r>
    </w:p>
  </w:footnote>
  <w:footnote w:id="2">
    <w:p w14:paraId="1EF291A9" w14:textId="77777777" w:rsidR="00E6586F" w:rsidRPr="00FD3C78" w:rsidRDefault="00E6586F" w:rsidP="004D614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Humphrey, J.H. (2009). Child undernutrition, tropical enteropathy, toilets and handwashing. Lancet. 2009;374:1032-1035 </w:t>
      </w:r>
    </w:p>
  </w:footnote>
  <w:footnote w:id="3">
    <w:p w14:paraId="397DCCBF" w14:textId="388E9AF5" w:rsidR="00E6586F" w:rsidRPr="004D614B" w:rsidRDefault="00E6586F">
      <w:pPr>
        <w:pStyle w:val="FootnoteText"/>
        <w:rPr>
          <w:lang w:val="en-US"/>
        </w:rPr>
      </w:pPr>
      <w:r w:rsidRPr="004D614B">
        <w:rPr>
          <w:rStyle w:val="FootnoteReference"/>
        </w:rPr>
        <w:footnoteRef/>
      </w:r>
      <w:r w:rsidRPr="004D614B">
        <w:t xml:space="preserve"> </w:t>
      </w:r>
      <w:r w:rsidRPr="004D614B">
        <w:rPr>
          <w:rFonts w:cstheme="minorHAnsi"/>
        </w:rPr>
        <w:t>Pickering, A. et al. (2019) The WASH Benefits and SHINE trials: interpretation of WASH intervention effects on linear growth and diarrhoea.The Lancet Global Health, Volume 7, Issue 8, e1139 - e1146</w:t>
      </w:r>
    </w:p>
  </w:footnote>
  <w:footnote w:id="4">
    <w:p w14:paraId="2C454D2D" w14:textId="77777777" w:rsidR="00E6586F" w:rsidRPr="00CC7297" w:rsidRDefault="00E6586F" w:rsidP="000B7A5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B51373">
          <w:rPr>
            <w:rStyle w:val="Hyperlink"/>
          </w:rPr>
          <w:t>https://www.who.int/pmnch/media/publications/aonsectionIII_3.pdf</w:t>
        </w:r>
      </w:hyperlink>
    </w:p>
  </w:footnote>
  <w:footnote w:id="5">
    <w:p w14:paraId="79AE80C6" w14:textId="77777777" w:rsidR="00E6586F" w:rsidRPr="00CC7297" w:rsidRDefault="00E6586F" w:rsidP="000B7A5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World Visions International, Baby WASH toolkit, version 1, 2017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806"/>
    <w:multiLevelType w:val="hybridMultilevel"/>
    <w:tmpl w:val="443E54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A2CC3"/>
    <w:multiLevelType w:val="hybridMultilevel"/>
    <w:tmpl w:val="D1B82292"/>
    <w:lvl w:ilvl="0" w:tplc="6B704776">
      <w:numFmt w:val="decimal"/>
      <w:lvlText w:val="%1."/>
      <w:lvlJc w:val="left"/>
      <w:pPr>
        <w:ind w:left="720" w:hanging="360"/>
      </w:pPr>
      <w:rPr>
        <w:rFonts w:eastAsia="Times New Roman" w:cs="Leelawadee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F3E72"/>
    <w:multiLevelType w:val="hybridMultilevel"/>
    <w:tmpl w:val="3C00548C"/>
    <w:lvl w:ilvl="0" w:tplc="0809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75694"/>
    <w:multiLevelType w:val="hybridMultilevel"/>
    <w:tmpl w:val="8A50B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618A0"/>
    <w:multiLevelType w:val="hybridMultilevel"/>
    <w:tmpl w:val="FC6A3B8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F3DA4"/>
    <w:multiLevelType w:val="hybridMultilevel"/>
    <w:tmpl w:val="0DC6C924"/>
    <w:lvl w:ilvl="0" w:tplc="FEDCC350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System Font Regular" w:hAnsi="System Font Regular" w:hint="default"/>
      </w:rPr>
    </w:lvl>
    <w:lvl w:ilvl="1" w:tplc="56429D22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ystem Font Regular" w:hAnsi="System Font Regular" w:hint="default"/>
      </w:rPr>
    </w:lvl>
    <w:lvl w:ilvl="2" w:tplc="99D02A4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ystem Font Regular" w:hAnsi="System Font Regular" w:hint="default"/>
      </w:rPr>
    </w:lvl>
    <w:lvl w:ilvl="3" w:tplc="3D3CB99C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System Font Regular" w:hAnsi="System Font Regular" w:hint="default"/>
      </w:rPr>
    </w:lvl>
    <w:lvl w:ilvl="4" w:tplc="2C30718A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ystem Font Regular" w:hAnsi="System Font Regular" w:hint="default"/>
      </w:rPr>
    </w:lvl>
    <w:lvl w:ilvl="5" w:tplc="40FEBCD6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ystem Font Regular" w:hAnsi="System Font Regular" w:hint="default"/>
      </w:rPr>
    </w:lvl>
    <w:lvl w:ilvl="6" w:tplc="1660B4C0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System Font Regular" w:hAnsi="System Font Regular" w:hint="default"/>
      </w:rPr>
    </w:lvl>
    <w:lvl w:ilvl="7" w:tplc="9A68031E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System Font Regular" w:hAnsi="System Font Regular" w:hint="default"/>
      </w:rPr>
    </w:lvl>
    <w:lvl w:ilvl="8" w:tplc="DCE86020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System Font Regular" w:hAnsi="System Font Regular" w:hint="default"/>
      </w:rPr>
    </w:lvl>
  </w:abstractNum>
  <w:abstractNum w:abstractNumId="6" w15:restartNumberingAfterBreak="0">
    <w:nsid w:val="14F10B19"/>
    <w:multiLevelType w:val="hybridMultilevel"/>
    <w:tmpl w:val="B28C3E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131FF"/>
    <w:multiLevelType w:val="hybridMultilevel"/>
    <w:tmpl w:val="1B2E118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67C2A"/>
    <w:multiLevelType w:val="hybridMultilevel"/>
    <w:tmpl w:val="791C862C"/>
    <w:lvl w:ilvl="0" w:tplc="2AD47DA4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3A2BAE"/>
    <w:multiLevelType w:val="hybridMultilevel"/>
    <w:tmpl w:val="7D6E4FE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64F2C"/>
    <w:multiLevelType w:val="hybridMultilevel"/>
    <w:tmpl w:val="26C81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E011A"/>
    <w:multiLevelType w:val="hybridMultilevel"/>
    <w:tmpl w:val="D1B82292"/>
    <w:lvl w:ilvl="0" w:tplc="6B704776">
      <w:numFmt w:val="decimal"/>
      <w:lvlText w:val="%1."/>
      <w:lvlJc w:val="left"/>
      <w:pPr>
        <w:ind w:left="720" w:hanging="360"/>
      </w:pPr>
      <w:rPr>
        <w:rFonts w:eastAsia="Times New Roman" w:cs="Leelawadee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1F13"/>
    <w:multiLevelType w:val="hybridMultilevel"/>
    <w:tmpl w:val="CA9405C8"/>
    <w:lvl w:ilvl="0" w:tplc="3CA4B2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2E6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DA3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DAF6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DA1C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B43C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C2D3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062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F891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F3C33"/>
    <w:multiLevelType w:val="hybridMultilevel"/>
    <w:tmpl w:val="D1B82292"/>
    <w:lvl w:ilvl="0" w:tplc="6B704776">
      <w:numFmt w:val="decimal"/>
      <w:lvlText w:val="%1."/>
      <w:lvlJc w:val="left"/>
      <w:pPr>
        <w:ind w:left="720" w:hanging="360"/>
      </w:pPr>
      <w:rPr>
        <w:rFonts w:eastAsia="Times New Roman" w:cs="Leelawadee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141F1"/>
    <w:multiLevelType w:val="hybridMultilevel"/>
    <w:tmpl w:val="C42EC676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42772"/>
    <w:multiLevelType w:val="hybridMultilevel"/>
    <w:tmpl w:val="95D0BCCC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C25A9"/>
    <w:multiLevelType w:val="hybridMultilevel"/>
    <w:tmpl w:val="F9722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60C39"/>
    <w:multiLevelType w:val="hybridMultilevel"/>
    <w:tmpl w:val="39608BD6"/>
    <w:lvl w:ilvl="0" w:tplc="06DECE76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System Font Regular" w:hAnsi="System Font Regular" w:hint="default"/>
      </w:rPr>
    </w:lvl>
    <w:lvl w:ilvl="1" w:tplc="36501AB6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ystem Font Regular" w:hAnsi="System Font Regular" w:hint="default"/>
      </w:rPr>
    </w:lvl>
    <w:lvl w:ilvl="2" w:tplc="40403386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ystem Font Regular" w:hAnsi="System Font Regular" w:hint="default"/>
      </w:rPr>
    </w:lvl>
    <w:lvl w:ilvl="3" w:tplc="05D290F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System Font Regular" w:hAnsi="System Font Regular" w:hint="default"/>
      </w:rPr>
    </w:lvl>
    <w:lvl w:ilvl="4" w:tplc="AF3E5844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ystem Font Regular" w:hAnsi="System Font Regular" w:hint="default"/>
      </w:rPr>
    </w:lvl>
    <w:lvl w:ilvl="5" w:tplc="B3927CF8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ystem Font Regular" w:hAnsi="System Font Regular" w:hint="default"/>
      </w:rPr>
    </w:lvl>
    <w:lvl w:ilvl="6" w:tplc="A064AD24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System Font Regular" w:hAnsi="System Font Regular" w:hint="default"/>
      </w:rPr>
    </w:lvl>
    <w:lvl w:ilvl="7" w:tplc="D00AC38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System Font Regular" w:hAnsi="System Font Regular" w:hint="default"/>
      </w:rPr>
    </w:lvl>
    <w:lvl w:ilvl="8" w:tplc="83FE05E0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System Font Regular" w:hAnsi="System Font Regular" w:hint="default"/>
      </w:rPr>
    </w:lvl>
  </w:abstractNum>
  <w:abstractNum w:abstractNumId="18" w15:restartNumberingAfterBreak="0">
    <w:nsid w:val="4D782B6B"/>
    <w:multiLevelType w:val="hybridMultilevel"/>
    <w:tmpl w:val="DA6E3790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A3FDC"/>
    <w:multiLevelType w:val="hybridMultilevel"/>
    <w:tmpl w:val="24B24E20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11B4B"/>
    <w:multiLevelType w:val="hybridMultilevel"/>
    <w:tmpl w:val="104A46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77C20"/>
    <w:multiLevelType w:val="hybridMultilevel"/>
    <w:tmpl w:val="4EE4E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1146F9"/>
    <w:multiLevelType w:val="hybridMultilevel"/>
    <w:tmpl w:val="1D083E1A"/>
    <w:lvl w:ilvl="0" w:tplc="013A7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7A1CA1"/>
    <w:multiLevelType w:val="hybridMultilevel"/>
    <w:tmpl w:val="F912F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112E9"/>
    <w:multiLevelType w:val="hybridMultilevel"/>
    <w:tmpl w:val="B41AFE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93741"/>
    <w:multiLevelType w:val="hybridMultilevel"/>
    <w:tmpl w:val="C42EC676"/>
    <w:lvl w:ilvl="0" w:tplc="041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624C1"/>
    <w:multiLevelType w:val="hybridMultilevel"/>
    <w:tmpl w:val="97225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B0EC5"/>
    <w:multiLevelType w:val="hybridMultilevel"/>
    <w:tmpl w:val="CF92BD46"/>
    <w:lvl w:ilvl="0" w:tplc="D0E228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A60A53"/>
    <w:multiLevelType w:val="hybridMultilevel"/>
    <w:tmpl w:val="AE5445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22331"/>
    <w:multiLevelType w:val="hybridMultilevel"/>
    <w:tmpl w:val="AA1679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465E7"/>
    <w:multiLevelType w:val="hybridMultilevel"/>
    <w:tmpl w:val="31DE5B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3"/>
  </w:num>
  <w:num w:numId="4">
    <w:abstractNumId w:val="27"/>
  </w:num>
  <w:num w:numId="5">
    <w:abstractNumId w:val="29"/>
  </w:num>
  <w:num w:numId="6">
    <w:abstractNumId w:val="21"/>
  </w:num>
  <w:num w:numId="7">
    <w:abstractNumId w:val="24"/>
  </w:num>
  <w:num w:numId="8">
    <w:abstractNumId w:val="8"/>
  </w:num>
  <w:num w:numId="9">
    <w:abstractNumId w:val="2"/>
  </w:num>
  <w:num w:numId="10">
    <w:abstractNumId w:val="13"/>
  </w:num>
  <w:num w:numId="11">
    <w:abstractNumId w:val="15"/>
  </w:num>
  <w:num w:numId="12">
    <w:abstractNumId w:val="28"/>
  </w:num>
  <w:num w:numId="13">
    <w:abstractNumId w:val="6"/>
  </w:num>
  <w:num w:numId="14">
    <w:abstractNumId w:val="25"/>
  </w:num>
  <w:num w:numId="15">
    <w:abstractNumId w:val="18"/>
  </w:num>
  <w:num w:numId="16">
    <w:abstractNumId w:val="22"/>
  </w:num>
  <w:num w:numId="17">
    <w:abstractNumId w:val="19"/>
  </w:num>
  <w:num w:numId="18">
    <w:abstractNumId w:val="9"/>
  </w:num>
  <w:num w:numId="19">
    <w:abstractNumId w:val="14"/>
  </w:num>
  <w:num w:numId="20">
    <w:abstractNumId w:val="1"/>
  </w:num>
  <w:num w:numId="21">
    <w:abstractNumId w:val="7"/>
  </w:num>
  <w:num w:numId="22">
    <w:abstractNumId w:val="11"/>
  </w:num>
  <w:num w:numId="23">
    <w:abstractNumId w:val="0"/>
  </w:num>
  <w:num w:numId="24">
    <w:abstractNumId w:val="5"/>
  </w:num>
  <w:num w:numId="25">
    <w:abstractNumId w:val="17"/>
  </w:num>
  <w:num w:numId="26">
    <w:abstractNumId w:val="26"/>
  </w:num>
  <w:num w:numId="27">
    <w:abstractNumId w:val="12"/>
  </w:num>
  <w:num w:numId="28">
    <w:abstractNumId w:val="16"/>
  </w:num>
  <w:num w:numId="29">
    <w:abstractNumId w:val="10"/>
  </w:num>
  <w:num w:numId="30">
    <w:abstractNumId w:val="23"/>
  </w:num>
  <w:num w:numId="31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CD"/>
    <w:rsid w:val="00015466"/>
    <w:rsid w:val="0001792D"/>
    <w:rsid w:val="000215CF"/>
    <w:rsid w:val="00026BAD"/>
    <w:rsid w:val="00054061"/>
    <w:rsid w:val="0005466C"/>
    <w:rsid w:val="000639EA"/>
    <w:rsid w:val="000670BB"/>
    <w:rsid w:val="0007405E"/>
    <w:rsid w:val="00076A4F"/>
    <w:rsid w:val="00080ABA"/>
    <w:rsid w:val="00084337"/>
    <w:rsid w:val="0009520B"/>
    <w:rsid w:val="000A2EC8"/>
    <w:rsid w:val="000B13BC"/>
    <w:rsid w:val="000B7A52"/>
    <w:rsid w:val="000D28F8"/>
    <w:rsid w:val="000D507E"/>
    <w:rsid w:val="000D7C32"/>
    <w:rsid w:val="000E007F"/>
    <w:rsid w:val="000E0181"/>
    <w:rsid w:val="001012E1"/>
    <w:rsid w:val="00102DE6"/>
    <w:rsid w:val="0010305D"/>
    <w:rsid w:val="00107065"/>
    <w:rsid w:val="0011036B"/>
    <w:rsid w:val="0011574E"/>
    <w:rsid w:val="00116224"/>
    <w:rsid w:val="001171FA"/>
    <w:rsid w:val="00117790"/>
    <w:rsid w:val="001336C9"/>
    <w:rsid w:val="00145AA3"/>
    <w:rsid w:val="00153DB8"/>
    <w:rsid w:val="0017377C"/>
    <w:rsid w:val="0018018A"/>
    <w:rsid w:val="001852C4"/>
    <w:rsid w:val="00186906"/>
    <w:rsid w:val="00187A6B"/>
    <w:rsid w:val="00193917"/>
    <w:rsid w:val="00194707"/>
    <w:rsid w:val="00196331"/>
    <w:rsid w:val="00196FFB"/>
    <w:rsid w:val="001B45BB"/>
    <w:rsid w:val="001D0683"/>
    <w:rsid w:val="001E3D59"/>
    <w:rsid w:val="001F2D06"/>
    <w:rsid w:val="002007FB"/>
    <w:rsid w:val="00207B27"/>
    <w:rsid w:val="00211291"/>
    <w:rsid w:val="00211BB9"/>
    <w:rsid w:val="00220061"/>
    <w:rsid w:val="00223C6D"/>
    <w:rsid w:val="00225117"/>
    <w:rsid w:val="00236134"/>
    <w:rsid w:val="00240C8A"/>
    <w:rsid w:val="00254247"/>
    <w:rsid w:val="00260A16"/>
    <w:rsid w:val="0027146E"/>
    <w:rsid w:val="0027151E"/>
    <w:rsid w:val="0028154E"/>
    <w:rsid w:val="00290DFB"/>
    <w:rsid w:val="002A008B"/>
    <w:rsid w:val="002A353A"/>
    <w:rsid w:val="002A5837"/>
    <w:rsid w:val="002A6B59"/>
    <w:rsid w:val="002C55A1"/>
    <w:rsid w:val="002D2A18"/>
    <w:rsid w:val="002E303E"/>
    <w:rsid w:val="002F0E8E"/>
    <w:rsid w:val="002F5E2C"/>
    <w:rsid w:val="002F78B9"/>
    <w:rsid w:val="00307214"/>
    <w:rsid w:val="00322983"/>
    <w:rsid w:val="003266F9"/>
    <w:rsid w:val="0033044B"/>
    <w:rsid w:val="00331C44"/>
    <w:rsid w:val="0033373B"/>
    <w:rsid w:val="003412AD"/>
    <w:rsid w:val="00343FC7"/>
    <w:rsid w:val="003461A3"/>
    <w:rsid w:val="003519E5"/>
    <w:rsid w:val="00352469"/>
    <w:rsid w:val="00363672"/>
    <w:rsid w:val="00374C37"/>
    <w:rsid w:val="00375354"/>
    <w:rsid w:val="00375B13"/>
    <w:rsid w:val="003866B5"/>
    <w:rsid w:val="00394CC7"/>
    <w:rsid w:val="00396A8A"/>
    <w:rsid w:val="003A1A60"/>
    <w:rsid w:val="003A26D1"/>
    <w:rsid w:val="003A3E5F"/>
    <w:rsid w:val="003A6157"/>
    <w:rsid w:val="003B18F8"/>
    <w:rsid w:val="003B610E"/>
    <w:rsid w:val="003C19ED"/>
    <w:rsid w:val="003C5332"/>
    <w:rsid w:val="003D1BBC"/>
    <w:rsid w:val="003E24FE"/>
    <w:rsid w:val="003E3AEF"/>
    <w:rsid w:val="003E44D7"/>
    <w:rsid w:val="003E54E1"/>
    <w:rsid w:val="00445202"/>
    <w:rsid w:val="004513B6"/>
    <w:rsid w:val="00465B5F"/>
    <w:rsid w:val="0047547E"/>
    <w:rsid w:val="004828A0"/>
    <w:rsid w:val="00482ED2"/>
    <w:rsid w:val="004936D4"/>
    <w:rsid w:val="00495564"/>
    <w:rsid w:val="004A6624"/>
    <w:rsid w:val="004A7337"/>
    <w:rsid w:val="004A7C41"/>
    <w:rsid w:val="004A7D58"/>
    <w:rsid w:val="004B052B"/>
    <w:rsid w:val="004B0FE4"/>
    <w:rsid w:val="004C7F7F"/>
    <w:rsid w:val="004D614B"/>
    <w:rsid w:val="004D783A"/>
    <w:rsid w:val="004E6690"/>
    <w:rsid w:val="004F70DD"/>
    <w:rsid w:val="004F756F"/>
    <w:rsid w:val="00502FC9"/>
    <w:rsid w:val="0050378B"/>
    <w:rsid w:val="005061DD"/>
    <w:rsid w:val="005067B4"/>
    <w:rsid w:val="00513181"/>
    <w:rsid w:val="0053030C"/>
    <w:rsid w:val="00556C2F"/>
    <w:rsid w:val="00562744"/>
    <w:rsid w:val="005672F6"/>
    <w:rsid w:val="00571028"/>
    <w:rsid w:val="00576191"/>
    <w:rsid w:val="00581FB2"/>
    <w:rsid w:val="00583C81"/>
    <w:rsid w:val="00594551"/>
    <w:rsid w:val="005A39C8"/>
    <w:rsid w:val="005A7541"/>
    <w:rsid w:val="005B5A88"/>
    <w:rsid w:val="005C2423"/>
    <w:rsid w:val="005D543B"/>
    <w:rsid w:val="005E19AA"/>
    <w:rsid w:val="005E6514"/>
    <w:rsid w:val="005F03A2"/>
    <w:rsid w:val="005F4B49"/>
    <w:rsid w:val="005F5051"/>
    <w:rsid w:val="005F7CBC"/>
    <w:rsid w:val="00600ACE"/>
    <w:rsid w:val="00606510"/>
    <w:rsid w:val="0061700C"/>
    <w:rsid w:val="0061770C"/>
    <w:rsid w:val="00631758"/>
    <w:rsid w:val="00650168"/>
    <w:rsid w:val="00672492"/>
    <w:rsid w:val="00672F6F"/>
    <w:rsid w:val="006763BB"/>
    <w:rsid w:val="00681D3F"/>
    <w:rsid w:val="00692424"/>
    <w:rsid w:val="006A4F21"/>
    <w:rsid w:val="006B2CA6"/>
    <w:rsid w:val="006B6F60"/>
    <w:rsid w:val="006C22FC"/>
    <w:rsid w:val="006C2C08"/>
    <w:rsid w:val="006C3AC9"/>
    <w:rsid w:val="006C6B71"/>
    <w:rsid w:val="006C776B"/>
    <w:rsid w:val="006D1C5F"/>
    <w:rsid w:val="006D56FB"/>
    <w:rsid w:val="006D7502"/>
    <w:rsid w:val="006E503D"/>
    <w:rsid w:val="006E51FD"/>
    <w:rsid w:val="006F2DCC"/>
    <w:rsid w:val="00717084"/>
    <w:rsid w:val="0072702D"/>
    <w:rsid w:val="00741155"/>
    <w:rsid w:val="00743CF8"/>
    <w:rsid w:val="00744B07"/>
    <w:rsid w:val="00753AEF"/>
    <w:rsid w:val="00754F69"/>
    <w:rsid w:val="00757D24"/>
    <w:rsid w:val="00757D26"/>
    <w:rsid w:val="0076125D"/>
    <w:rsid w:val="00763C46"/>
    <w:rsid w:val="00770BE8"/>
    <w:rsid w:val="00776C7C"/>
    <w:rsid w:val="00787202"/>
    <w:rsid w:val="00787A84"/>
    <w:rsid w:val="007901DC"/>
    <w:rsid w:val="0079211C"/>
    <w:rsid w:val="00796D2F"/>
    <w:rsid w:val="007A09D1"/>
    <w:rsid w:val="007A1C6B"/>
    <w:rsid w:val="007A1D9E"/>
    <w:rsid w:val="007B153A"/>
    <w:rsid w:val="007B2B50"/>
    <w:rsid w:val="007C521E"/>
    <w:rsid w:val="007D5987"/>
    <w:rsid w:val="007D741D"/>
    <w:rsid w:val="007D7CB1"/>
    <w:rsid w:val="007E5714"/>
    <w:rsid w:val="007F1807"/>
    <w:rsid w:val="00802BC5"/>
    <w:rsid w:val="00804DEB"/>
    <w:rsid w:val="008333D1"/>
    <w:rsid w:val="00833A8E"/>
    <w:rsid w:val="00833E70"/>
    <w:rsid w:val="008442AF"/>
    <w:rsid w:val="00846C63"/>
    <w:rsid w:val="008528C6"/>
    <w:rsid w:val="00855644"/>
    <w:rsid w:val="00855BB2"/>
    <w:rsid w:val="00867DD9"/>
    <w:rsid w:val="00867F7D"/>
    <w:rsid w:val="008707A7"/>
    <w:rsid w:val="0089797F"/>
    <w:rsid w:val="008A0368"/>
    <w:rsid w:val="008A0C85"/>
    <w:rsid w:val="008A7218"/>
    <w:rsid w:val="008B679B"/>
    <w:rsid w:val="008B67B8"/>
    <w:rsid w:val="008B7F4F"/>
    <w:rsid w:val="008E3DA9"/>
    <w:rsid w:val="008F570F"/>
    <w:rsid w:val="008F76FA"/>
    <w:rsid w:val="00902236"/>
    <w:rsid w:val="00904B47"/>
    <w:rsid w:val="00912C43"/>
    <w:rsid w:val="00913EB6"/>
    <w:rsid w:val="009211FF"/>
    <w:rsid w:val="0092158F"/>
    <w:rsid w:val="00927128"/>
    <w:rsid w:val="00932C09"/>
    <w:rsid w:val="00936778"/>
    <w:rsid w:val="00944E02"/>
    <w:rsid w:val="00953ED8"/>
    <w:rsid w:val="00960308"/>
    <w:rsid w:val="009642AD"/>
    <w:rsid w:val="00965FF3"/>
    <w:rsid w:val="00967146"/>
    <w:rsid w:val="00983A96"/>
    <w:rsid w:val="009852A3"/>
    <w:rsid w:val="009875D5"/>
    <w:rsid w:val="00995353"/>
    <w:rsid w:val="00997D80"/>
    <w:rsid w:val="009A3A92"/>
    <w:rsid w:val="009B1524"/>
    <w:rsid w:val="009B7237"/>
    <w:rsid w:val="009D56B0"/>
    <w:rsid w:val="009D64B6"/>
    <w:rsid w:val="009E75BB"/>
    <w:rsid w:val="009F5F7A"/>
    <w:rsid w:val="00A01C01"/>
    <w:rsid w:val="00A15C5E"/>
    <w:rsid w:val="00A20B42"/>
    <w:rsid w:val="00A22864"/>
    <w:rsid w:val="00A25C54"/>
    <w:rsid w:val="00A32A9F"/>
    <w:rsid w:val="00A4107F"/>
    <w:rsid w:val="00A47FBD"/>
    <w:rsid w:val="00A5675B"/>
    <w:rsid w:val="00A5696D"/>
    <w:rsid w:val="00A60B1D"/>
    <w:rsid w:val="00A61AE3"/>
    <w:rsid w:val="00A61B69"/>
    <w:rsid w:val="00A61C23"/>
    <w:rsid w:val="00A63F74"/>
    <w:rsid w:val="00A66278"/>
    <w:rsid w:val="00A71D6C"/>
    <w:rsid w:val="00A76934"/>
    <w:rsid w:val="00A8263E"/>
    <w:rsid w:val="00A91F74"/>
    <w:rsid w:val="00A9209D"/>
    <w:rsid w:val="00A92600"/>
    <w:rsid w:val="00A92F0E"/>
    <w:rsid w:val="00AA4E7B"/>
    <w:rsid w:val="00AA61FB"/>
    <w:rsid w:val="00AD0647"/>
    <w:rsid w:val="00AD5311"/>
    <w:rsid w:val="00AE042E"/>
    <w:rsid w:val="00AE7955"/>
    <w:rsid w:val="00AF55AD"/>
    <w:rsid w:val="00B02654"/>
    <w:rsid w:val="00B032DE"/>
    <w:rsid w:val="00B14C59"/>
    <w:rsid w:val="00B156D4"/>
    <w:rsid w:val="00B205C4"/>
    <w:rsid w:val="00B22313"/>
    <w:rsid w:val="00B27C59"/>
    <w:rsid w:val="00B416DC"/>
    <w:rsid w:val="00B434B5"/>
    <w:rsid w:val="00B54231"/>
    <w:rsid w:val="00B707FE"/>
    <w:rsid w:val="00B71504"/>
    <w:rsid w:val="00B7752C"/>
    <w:rsid w:val="00B8535A"/>
    <w:rsid w:val="00B9227D"/>
    <w:rsid w:val="00B92C6A"/>
    <w:rsid w:val="00B94969"/>
    <w:rsid w:val="00BA180A"/>
    <w:rsid w:val="00BA3EDB"/>
    <w:rsid w:val="00BB0A7F"/>
    <w:rsid w:val="00BB7C4D"/>
    <w:rsid w:val="00BC090B"/>
    <w:rsid w:val="00BC59C4"/>
    <w:rsid w:val="00BC5B1B"/>
    <w:rsid w:val="00BC6651"/>
    <w:rsid w:val="00BC76B8"/>
    <w:rsid w:val="00BE4299"/>
    <w:rsid w:val="00BE6D67"/>
    <w:rsid w:val="00BF501D"/>
    <w:rsid w:val="00BF6DD5"/>
    <w:rsid w:val="00C00773"/>
    <w:rsid w:val="00C022BD"/>
    <w:rsid w:val="00C32156"/>
    <w:rsid w:val="00C34DA5"/>
    <w:rsid w:val="00C352C6"/>
    <w:rsid w:val="00C50808"/>
    <w:rsid w:val="00C51C94"/>
    <w:rsid w:val="00C6341D"/>
    <w:rsid w:val="00C653ED"/>
    <w:rsid w:val="00C712EF"/>
    <w:rsid w:val="00C8170E"/>
    <w:rsid w:val="00C82C43"/>
    <w:rsid w:val="00C838DB"/>
    <w:rsid w:val="00C83E29"/>
    <w:rsid w:val="00C85FA7"/>
    <w:rsid w:val="00C90357"/>
    <w:rsid w:val="00C92D81"/>
    <w:rsid w:val="00C96DB4"/>
    <w:rsid w:val="00C978C0"/>
    <w:rsid w:val="00CA28F0"/>
    <w:rsid w:val="00CA53D6"/>
    <w:rsid w:val="00CB37EF"/>
    <w:rsid w:val="00CB6E42"/>
    <w:rsid w:val="00CB6FAA"/>
    <w:rsid w:val="00CC4580"/>
    <w:rsid w:val="00CC7297"/>
    <w:rsid w:val="00CE1A5A"/>
    <w:rsid w:val="00CE6B48"/>
    <w:rsid w:val="00CF0A63"/>
    <w:rsid w:val="00CF4764"/>
    <w:rsid w:val="00D01E95"/>
    <w:rsid w:val="00D0707E"/>
    <w:rsid w:val="00D37810"/>
    <w:rsid w:val="00D43642"/>
    <w:rsid w:val="00D504BD"/>
    <w:rsid w:val="00D50923"/>
    <w:rsid w:val="00D50AA6"/>
    <w:rsid w:val="00D52D29"/>
    <w:rsid w:val="00D54A0E"/>
    <w:rsid w:val="00D64E27"/>
    <w:rsid w:val="00D67112"/>
    <w:rsid w:val="00D77CF2"/>
    <w:rsid w:val="00D82AEA"/>
    <w:rsid w:val="00D91356"/>
    <w:rsid w:val="00D918CD"/>
    <w:rsid w:val="00D9312F"/>
    <w:rsid w:val="00D954CE"/>
    <w:rsid w:val="00DA0FCC"/>
    <w:rsid w:val="00DA329D"/>
    <w:rsid w:val="00DB0F87"/>
    <w:rsid w:val="00DB7B8A"/>
    <w:rsid w:val="00DC1642"/>
    <w:rsid w:val="00DC20D5"/>
    <w:rsid w:val="00DC5D52"/>
    <w:rsid w:val="00DC62D9"/>
    <w:rsid w:val="00DC72D1"/>
    <w:rsid w:val="00DF06C1"/>
    <w:rsid w:val="00DF3910"/>
    <w:rsid w:val="00DF7D33"/>
    <w:rsid w:val="00E03303"/>
    <w:rsid w:val="00E04887"/>
    <w:rsid w:val="00E156A0"/>
    <w:rsid w:val="00E22CC8"/>
    <w:rsid w:val="00E24D46"/>
    <w:rsid w:val="00E26181"/>
    <w:rsid w:val="00E40460"/>
    <w:rsid w:val="00E6029A"/>
    <w:rsid w:val="00E6206A"/>
    <w:rsid w:val="00E636BA"/>
    <w:rsid w:val="00E6586F"/>
    <w:rsid w:val="00E709E3"/>
    <w:rsid w:val="00E73B15"/>
    <w:rsid w:val="00E73F1E"/>
    <w:rsid w:val="00E7587D"/>
    <w:rsid w:val="00E76339"/>
    <w:rsid w:val="00E80135"/>
    <w:rsid w:val="00E80429"/>
    <w:rsid w:val="00E80726"/>
    <w:rsid w:val="00E85C72"/>
    <w:rsid w:val="00E86326"/>
    <w:rsid w:val="00E919DC"/>
    <w:rsid w:val="00E970C6"/>
    <w:rsid w:val="00EA117C"/>
    <w:rsid w:val="00EA14C2"/>
    <w:rsid w:val="00EA7690"/>
    <w:rsid w:val="00EB0604"/>
    <w:rsid w:val="00EB385F"/>
    <w:rsid w:val="00EB5EAF"/>
    <w:rsid w:val="00EB72F0"/>
    <w:rsid w:val="00EC15D8"/>
    <w:rsid w:val="00EC2775"/>
    <w:rsid w:val="00ED122F"/>
    <w:rsid w:val="00ED2FAA"/>
    <w:rsid w:val="00EE5A39"/>
    <w:rsid w:val="00EE5B7D"/>
    <w:rsid w:val="00EF2146"/>
    <w:rsid w:val="00EF3FCC"/>
    <w:rsid w:val="00EF581D"/>
    <w:rsid w:val="00F34D6F"/>
    <w:rsid w:val="00F54113"/>
    <w:rsid w:val="00F55CBB"/>
    <w:rsid w:val="00F60B17"/>
    <w:rsid w:val="00F72159"/>
    <w:rsid w:val="00F85225"/>
    <w:rsid w:val="00FA42F6"/>
    <w:rsid w:val="00FA5275"/>
    <w:rsid w:val="00FB0985"/>
    <w:rsid w:val="00FC031C"/>
    <w:rsid w:val="00FD3C78"/>
    <w:rsid w:val="00FD7556"/>
    <w:rsid w:val="00FE0598"/>
    <w:rsid w:val="00FF040C"/>
    <w:rsid w:val="00FF0B34"/>
    <w:rsid w:val="00FF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65256"/>
  <w15:chartTrackingRefBased/>
  <w15:docId w15:val="{3976A546-B98B-4AE3-9F42-4CD56F97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25D"/>
  </w:style>
  <w:style w:type="paragraph" w:styleId="Heading1">
    <w:name w:val="heading 1"/>
    <w:basedOn w:val="Normal"/>
    <w:next w:val="Normal"/>
    <w:link w:val="Heading1Char"/>
    <w:uiPriority w:val="9"/>
    <w:qFormat/>
    <w:rsid w:val="00983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3A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3C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DF7D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mall normal"/>
    <w:basedOn w:val="Normal"/>
    <w:link w:val="ListParagraphChar"/>
    <w:uiPriority w:val="34"/>
    <w:qFormat/>
    <w:rsid w:val="00D9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3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AC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1779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77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947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47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47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7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707"/>
    <w:rPr>
      <w:b/>
      <w:bCs/>
      <w:sz w:val="20"/>
      <w:szCs w:val="20"/>
    </w:rPr>
  </w:style>
  <w:style w:type="paragraph" w:customStyle="1" w:styleId="Default">
    <w:name w:val="Default"/>
    <w:rsid w:val="00B416DC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27C5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80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DF7D33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F7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s-rtefontface-1">
    <w:name w:val="ms-rtefontface-1"/>
    <w:basedOn w:val="DefaultParagraphFont"/>
    <w:rsid w:val="00DF7D33"/>
  </w:style>
  <w:style w:type="character" w:styleId="Strong">
    <w:name w:val="Strong"/>
    <w:basedOn w:val="DefaultParagraphFont"/>
    <w:uiPriority w:val="22"/>
    <w:qFormat/>
    <w:rsid w:val="00DF7D33"/>
    <w:rPr>
      <w:b/>
      <w:bCs/>
    </w:rPr>
  </w:style>
  <w:style w:type="character" w:customStyle="1" w:styleId="ms-rtethemefontface-1">
    <w:name w:val="ms-rtethemefontface-1"/>
    <w:basedOn w:val="DefaultParagraphFont"/>
    <w:rsid w:val="00DF7D33"/>
  </w:style>
  <w:style w:type="character" w:customStyle="1" w:styleId="ms-rtestyle-normal">
    <w:name w:val="ms-rtestyle-normal"/>
    <w:basedOn w:val="DefaultParagraphFont"/>
    <w:rsid w:val="00DF7D33"/>
  </w:style>
  <w:style w:type="character" w:customStyle="1" w:styleId="ms-rtethemeforecolor-1-5">
    <w:name w:val="ms-rtethemeforecolor-1-5"/>
    <w:basedOn w:val="DefaultParagraphFont"/>
    <w:rsid w:val="00DF7D33"/>
  </w:style>
  <w:style w:type="character" w:customStyle="1" w:styleId="ms-rtethemeforecolor-2-0">
    <w:name w:val="ms-rtethemeforecolor-2-0"/>
    <w:basedOn w:val="DefaultParagraphFont"/>
    <w:rsid w:val="00D504BD"/>
  </w:style>
  <w:style w:type="character" w:styleId="Emphasis">
    <w:name w:val="Emphasis"/>
    <w:basedOn w:val="DefaultParagraphFont"/>
    <w:uiPriority w:val="20"/>
    <w:qFormat/>
    <w:rsid w:val="007F180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83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3A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5A39C8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72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72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7297"/>
    <w:rPr>
      <w:vertAlign w:val="superscript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D56B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40C8A"/>
    <w:pPr>
      <w:spacing w:after="0" w:line="240" w:lineRule="auto"/>
    </w:pPr>
  </w:style>
  <w:style w:type="character" w:customStyle="1" w:styleId="ListParagraphChar">
    <w:name w:val="List Paragraph Char"/>
    <w:aliases w:val="small normal Char"/>
    <w:link w:val="ListParagraph"/>
    <w:uiPriority w:val="34"/>
    <w:rsid w:val="00DF3910"/>
  </w:style>
  <w:style w:type="character" w:customStyle="1" w:styleId="Heading3Char">
    <w:name w:val="Heading 3 Char"/>
    <w:basedOn w:val="DefaultParagraphFont"/>
    <w:link w:val="Heading3"/>
    <w:uiPriority w:val="9"/>
    <w:rsid w:val="00FD3C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efauthorsname">
    <w:name w:val="ref__authors__name"/>
    <w:basedOn w:val="Normal"/>
    <w:rsid w:val="00FD3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efseries">
    <w:name w:val="ref__series"/>
    <w:basedOn w:val="DefaultParagraphFont"/>
    <w:rsid w:val="00FD3C78"/>
  </w:style>
  <w:style w:type="character" w:customStyle="1" w:styleId="refseriesdate">
    <w:name w:val="ref__seriesdate"/>
    <w:basedOn w:val="DefaultParagraphFont"/>
    <w:rsid w:val="00FD3C78"/>
  </w:style>
  <w:style w:type="character" w:customStyle="1" w:styleId="refseriesvolume">
    <w:name w:val="ref__seriesvolume"/>
    <w:basedOn w:val="DefaultParagraphFont"/>
    <w:rsid w:val="00FD3C78"/>
  </w:style>
  <w:style w:type="character" w:customStyle="1" w:styleId="refseriespages">
    <w:name w:val="ref__seriespages"/>
    <w:basedOn w:val="DefaultParagraphFont"/>
    <w:rsid w:val="00FD3C78"/>
  </w:style>
  <w:style w:type="character" w:customStyle="1" w:styleId="UnresolvedMention">
    <w:name w:val="Unresolved Mention"/>
    <w:basedOn w:val="DefaultParagraphFont"/>
    <w:uiPriority w:val="99"/>
    <w:semiHidden/>
    <w:unhideWhenUsed/>
    <w:rsid w:val="00953ED8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BB7C4D"/>
  </w:style>
  <w:style w:type="character" w:customStyle="1" w:styleId="eop">
    <w:name w:val="eop"/>
    <w:basedOn w:val="DefaultParagraphFont"/>
    <w:rsid w:val="000E007F"/>
  </w:style>
  <w:style w:type="paragraph" w:customStyle="1" w:styleId="paragraph">
    <w:name w:val="paragraph"/>
    <w:basedOn w:val="Normal"/>
    <w:rsid w:val="006C6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95389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752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7236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30169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7514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7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ho.int/pmnch/media/publications/aonsectionIII_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15262F4B13BC4694457DB7D74ABF33" ma:contentTypeVersion="10" ma:contentTypeDescription="Create a new document." ma:contentTypeScope="" ma:versionID="f7c68bd2a3d1d8abe91f89083a9ceecc">
  <xsd:schema xmlns:xsd="http://www.w3.org/2001/XMLSchema" xmlns:xs="http://www.w3.org/2001/XMLSchema" xmlns:p="http://schemas.microsoft.com/office/2006/metadata/properties" xmlns:ns3="cd5ce972-1de1-444f-a152-0ceff82910cb" targetNamespace="http://schemas.microsoft.com/office/2006/metadata/properties" ma:root="true" ma:fieldsID="b9c6fe28e8b68171af563a8106fd21ef" ns3:_="">
    <xsd:import namespace="cd5ce972-1de1-444f-a152-0ceff82910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ce972-1de1-444f-a152-0ceff8291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1C99B-3FEC-45F1-A9D9-D14B3F9FE7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F39B0D-847B-415A-A92D-5F809EA03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5ce972-1de1-444f-a152-0ceff8291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1BD625-7B34-4F66-AEAE-1E685A04DFA4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cd5ce972-1de1-444f-a152-0ceff82910cb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205AD6-F8D5-4513-950B-C891E1AB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3</Pages>
  <Words>962</Words>
  <Characters>5486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Purpose of this guide</vt:lpstr>
      <vt:lpstr>    </vt:lpstr>
      <vt:lpstr>    What is baby WASH? </vt:lpstr>
      <vt:lpstr>    What are baby WASH actions and activities? </vt:lpstr>
      <vt:lpstr>    Which baby WASH actions does this guidance focus on? </vt:lpstr>
      <vt:lpstr>    </vt:lpstr>
      <vt:lpstr>    Why are baby WASH actions important? </vt:lpstr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</dc:creator>
  <cp:keywords/>
  <dc:description/>
  <cp:lastModifiedBy>Kate Golden</cp:lastModifiedBy>
  <cp:revision>6</cp:revision>
  <dcterms:created xsi:type="dcterms:W3CDTF">2021-03-03T05:24:00Z</dcterms:created>
  <dcterms:modified xsi:type="dcterms:W3CDTF">2021-03-18T10:48:00Z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0x0101004D15262F4B13BC4694457DB7D74ABF33</vt:lpwstr>
  </property>
</Properties>
</file>